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0281" w14:textId="6525FB36" w:rsidR="00224C03" w:rsidRPr="00C4755C" w:rsidRDefault="00D63522" w:rsidP="007A0E22">
      <w:pPr>
        <w:jc w:val="center"/>
        <w:rPr>
          <w:rFonts w:cs="Times New Roman"/>
          <w:szCs w:val="24"/>
        </w:rPr>
      </w:pPr>
      <w:bookmarkStart w:id="0" w:name="_GoBack"/>
      <w:bookmarkEnd w:id="0"/>
      <w:r w:rsidRPr="00C4755C">
        <w:rPr>
          <w:rFonts w:cs="Times New Roman"/>
          <w:szCs w:val="24"/>
        </w:rPr>
        <w:t>UZASADNIENIE</w:t>
      </w:r>
    </w:p>
    <w:p w14:paraId="6B165145" w14:textId="4A8404C7" w:rsidR="00A4600A" w:rsidRPr="00C4755C" w:rsidRDefault="00523416" w:rsidP="00AC14A9">
      <w:pPr>
        <w:numPr>
          <w:ilvl w:val="0"/>
          <w:numId w:val="2"/>
        </w:numPr>
        <w:spacing w:before="120"/>
        <w:ind w:left="532" w:hanging="462"/>
        <w:jc w:val="both"/>
        <w:rPr>
          <w:rFonts w:cs="Times New Roman"/>
          <w:b/>
          <w:szCs w:val="24"/>
        </w:rPr>
      </w:pPr>
      <w:r w:rsidRPr="00C4755C">
        <w:rPr>
          <w:rFonts w:cs="Times New Roman"/>
          <w:b/>
          <w:szCs w:val="24"/>
        </w:rPr>
        <w:t>Potrzeba i cel regulacji</w:t>
      </w:r>
    </w:p>
    <w:p w14:paraId="34C6F191" w14:textId="42B7EDE0" w:rsidR="0008607E" w:rsidRPr="00C4755C" w:rsidRDefault="0008607E" w:rsidP="00C4755C">
      <w:pPr>
        <w:pStyle w:val="CM4"/>
        <w:spacing w:before="120" w:line="360" w:lineRule="auto"/>
        <w:jc w:val="both"/>
      </w:pPr>
      <w:r w:rsidRPr="00C4755C">
        <w:t xml:space="preserve">Celem niniejszej ustawy jest poprawa otoczenia prawnego, w jakim </w:t>
      </w:r>
      <w:r w:rsidR="001571F2" w:rsidRPr="00C4755C">
        <w:t>funkcjonują</w:t>
      </w:r>
      <w:r w:rsidRPr="00C4755C">
        <w:t xml:space="preserve"> strony transakcji handlowych, w celu ograniczenia zatorów płatniczych.</w:t>
      </w:r>
    </w:p>
    <w:p w14:paraId="48512107" w14:textId="27A501EC" w:rsidR="0037797F" w:rsidRPr="00C4755C" w:rsidRDefault="0037797F" w:rsidP="00C4755C">
      <w:pPr>
        <w:pStyle w:val="CM4"/>
        <w:spacing w:before="120" w:line="360" w:lineRule="auto"/>
        <w:jc w:val="both"/>
      </w:pPr>
      <w:r w:rsidRPr="00C4755C">
        <w:t>Jak wynika z</w:t>
      </w:r>
      <w:r w:rsidR="00584C51" w:rsidRPr="00C4755C">
        <w:t xml:space="preserve"> </w:t>
      </w:r>
      <w:r w:rsidRPr="00C4755C">
        <w:t>Europejskiego Raportu Płatności 2017</w:t>
      </w:r>
      <w:r w:rsidRPr="00C4755C">
        <w:rPr>
          <w:vertAlign w:val="superscript"/>
        </w:rPr>
        <w:footnoteReference w:id="1"/>
      </w:r>
      <w:r w:rsidR="0067713E">
        <w:t>,</w:t>
      </w:r>
      <w:r w:rsidRPr="00C4755C">
        <w:t xml:space="preserve"> 78% przedsiębiorców otrzymuje zapłatę 30 dni po terminie, a 13% czeka na nią nawet do 60 dni. Doliczając do tego średni termin zapłaty wskazany na fakturze, daje to 2 lub 3 miesiące bez wpływów na konto firmy. Zdaniem 45% przedsiębiorców jest to celowe działanie ich kontrahentów. Z kolei z</w:t>
      </w:r>
      <w:r w:rsidR="00C4755C">
        <w:t xml:space="preserve"> </w:t>
      </w:r>
      <w:r w:rsidRPr="00C4755C">
        <w:t>raportu Forum Obywatelskiego Rozwoju Zatory Płatnicze: Duży problem małych firm</w:t>
      </w:r>
      <w:r w:rsidRPr="00C4755C">
        <w:rPr>
          <w:vertAlign w:val="superscript"/>
        </w:rPr>
        <w:footnoteReference w:id="2"/>
      </w:r>
      <w:r w:rsidR="00F05B61" w:rsidRPr="00C4755C">
        <w:rPr>
          <w:vertAlign w:val="superscript"/>
        </w:rPr>
        <w:t>)</w:t>
      </w:r>
      <w:r w:rsidRPr="00C4755C">
        <w:t xml:space="preserve"> wynika, że ponad połowa firm deklaruje opóźnie</w:t>
      </w:r>
      <w:r w:rsidR="00216A60" w:rsidRPr="00C4755C">
        <w:t>nia w płatnościach</w:t>
      </w:r>
      <w:r w:rsidRPr="00C4755C">
        <w:t xml:space="preserve"> </w:t>
      </w:r>
      <w:r w:rsidR="002F0198" w:rsidRPr="00C4755C">
        <w:t xml:space="preserve">jako </w:t>
      </w:r>
      <w:r w:rsidRPr="00C4755C">
        <w:t>barier</w:t>
      </w:r>
      <w:r w:rsidR="002F0198" w:rsidRPr="00C4755C">
        <w:t>ę</w:t>
      </w:r>
      <w:r w:rsidRPr="00C4755C">
        <w:t xml:space="preserve"> dla prowadzonej przez nie działalności. Jednocześni</w:t>
      </w:r>
      <w:r w:rsidR="00CD7029" w:rsidRPr="00C4755C">
        <w:t>e</w:t>
      </w:r>
      <w:r w:rsidRPr="00C4755C">
        <w:t xml:space="preserve"> aż 29,8% przedsiębiorstw wskazuje na utrudnienia w</w:t>
      </w:r>
      <w:r w:rsidR="00584C51" w:rsidRPr="00C4755C">
        <w:t xml:space="preserve"> </w:t>
      </w:r>
      <w:r w:rsidRPr="00C4755C">
        <w:t>regulowaniu własnych zobowiązań na skutek problemów z otrzymywaniem należności, a</w:t>
      </w:r>
      <w:r w:rsidR="00584C51" w:rsidRPr="00C4755C">
        <w:t xml:space="preserve"> </w:t>
      </w:r>
      <w:r w:rsidRPr="00C4755C">
        <w:t>28,9% ogranicza z tego powodu inwestycje</w:t>
      </w:r>
      <w:r w:rsidRPr="00C4755C">
        <w:rPr>
          <w:vertAlign w:val="superscript"/>
        </w:rPr>
        <w:footnoteReference w:id="3"/>
      </w:r>
      <w:r w:rsidR="00F05B61" w:rsidRPr="00C4755C">
        <w:rPr>
          <w:vertAlign w:val="superscript"/>
        </w:rPr>
        <w:t>)</w:t>
      </w:r>
      <w:r w:rsidRPr="00C4755C">
        <w:t>. Ponadto rosną koszty obsługi przeterminowanych należności – jeszcze w lipcu 2017 r. było to 6,3%, natomiast w</w:t>
      </w:r>
      <w:r w:rsidR="00C4755C">
        <w:t xml:space="preserve"> </w:t>
      </w:r>
      <w:r w:rsidRPr="00C4755C">
        <w:t>kwietniu 2018 r. już 7,3% całości kosztów.</w:t>
      </w:r>
    </w:p>
    <w:p w14:paraId="35D657BA" w14:textId="73A1C5FD" w:rsidR="0037797F" w:rsidRPr="00C4755C" w:rsidRDefault="0037797F" w:rsidP="00C4755C">
      <w:pPr>
        <w:spacing w:before="120"/>
        <w:jc w:val="both"/>
        <w:rPr>
          <w:rFonts w:cs="Times New Roman"/>
          <w:szCs w:val="24"/>
        </w:rPr>
      </w:pPr>
      <w:r w:rsidRPr="00C4755C">
        <w:rPr>
          <w:rFonts w:cs="Times New Roman"/>
          <w:szCs w:val="24"/>
        </w:rPr>
        <w:t xml:space="preserve">Ponadto analiza struktury należności przeterminowanych ze względu na wielkość przedsiębiorstwa wskazuje, że średni odsetek przeterminowanych należności w dużych przedsiębiorstwach jest znacznie mniejszy niż w </w:t>
      </w:r>
      <w:r w:rsidR="00AD2583" w:rsidRPr="00C4755C">
        <w:rPr>
          <w:rFonts w:cs="Times New Roman"/>
          <w:szCs w:val="24"/>
        </w:rPr>
        <w:t>mikro, małych i średnich przedsiębiorstwach (dalej: „</w:t>
      </w:r>
      <w:r w:rsidRPr="00C4755C">
        <w:rPr>
          <w:rFonts w:cs="Times New Roman"/>
          <w:szCs w:val="24"/>
        </w:rPr>
        <w:t>MŚP</w:t>
      </w:r>
      <w:r w:rsidR="00AD2583" w:rsidRPr="00C4755C">
        <w:rPr>
          <w:rFonts w:cs="Times New Roman"/>
          <w:szCs w:val="24"/>
        </w:rPr>
        <w:t>”)</w:t>
      </w:r>
      <w:r w:rsidRPr="00C4755C">
        <w:rPr>
          <w:rFonts w:cs="Times New Roman"/>
          <w:szCs w:val="24"/>
        </w:rPr>
        <w:t xml:space="preserve"> (duże – 15,7%, mikro – 21,5%, małe – 22,4%, średnie – 24%). Średni okres przeterminowania spłat jest najdłuższy w grupie mikroprzedsiębiorców i wynosi 3 miesiące i 12 dni, natomiast w grupie dużych firm wynosi 2 miesiące i 21 dni. Wielkość kosztów wynikających z opóźnień w całkowitej strukturze kosztów jest powiązana z wielkością przedsiębiorstwa – im mniejsze przedsiębiorstwo, tym większy udział kosztów wynikających z opóźnień w płatnościach w</w:t>
      </w:r>
      <w:r w:rsidR="00584C51" w:rsidRPr="00C4755C">
        <w:rPr>
          <w:rFonts w:cs="Times New Roman"/>
          <w:szCs w:val="24"/>
        </w:rPr>
        <w:t xml:space="preserve"> </w:t>
      </w:r>
      <w:r w:rsidRPr="00C4755C">
        <w:rPr>
          <w:rFonts w:cs="Times New Roman"/>
          <w:szCs w:val="24"/>
        </w:rPr>
        <w:t>kosztach całkowitych.</w:t>
      </w:r>
    </w:p>
    <w:p w14:paraId="7AF0548E" w14:textId="27DDB6F1" w:rsidR="0037797F" w:rsidRPr="00C4755C" w:rsidRDefault="0037797F" w:rsidP="00C4755C">
      <w:pPr>
        <w:spacing w:before="120"/>
        <w:jc w:val="both"/>
        <w:rPr>
          <w:rFonts w:cs="Times New Roman"/>
          <w:szCs w:val="24"/>
        </w:rPr>
      </w:pPr>
      <w:r w:rsidRPr="00C4755C">
        <w:rPr>
          <w:rFonts w:cs="Times New Roman"/>
          <w:szCs w:val="24"/>
        </w:rPr>
        <w:t xml:space="preserve">Poza nieterminowym regulowaniem należności, na rozwój gospodarki negatywnie wpływa </w:t>
      </w:r>
      <w:r w:rsidR="0008607E" w:rsidRPr="00C4755C">
        <w:rPr>
          <w:rFonts w:cs="Times New Roman"/>
          <w:szCs w:val="24"/>
        </w:rPr>
        <w:t xml:space="preserve">też </w:t>
      </w:r>
      <w:r w:rsidRPr="00C4755C">
        <w:rPr>
          <w:rFonts w:cs="Times New Roman"/>
          <w:szCs w:val="24"/>
        </w:rPr>
        <w:t xml:space="preserve">zjawisko ustalania w umowach nadmiernie wydłużonych terminów zapłaty. I choć nie każdy termin zapłaty dłuższy niż przewidziane ustawowo 30 lub 60 dni jest </w:t>
      </w:r>
      <w:r w:rsidRPr="00C4755C">
        <w:rPr>
          <w:rFonts w:cs="Times New Roman"/>
          <w:i/>
          <w:szCs w:val="24"/>
        </w:rPr>
        <w:t xml:space="preserve">a </w:t>
      </w:r>
      <w:r w:rsidRPr="00C4755C">
        <w:rPr>
          <w:rFonts w:cs="Times New Roman"/>
          <w:i/>
          <w:szCs w:val="24"/>
        </w:rPr>
        <w:lastRenderedPageBreak/>
        <w:t>limine</w:t>
      </w:r>
      <w:r w:rsidRPr="00C4755C">
        <w:rPr>
          <w:rFonts w:cs="Times New Roman"/>
          <w:szCs w:val="24"/>
        </w:rPr>
        <w:t xml:space="preserve"> nieuczciwy, to konieczne jest wprowadzenie regulacji wzmacniających pozycję potencjalnych wierzycieli w sytuacji, gdy wydłużone terminy nie mają uzasadnienia, nawet jeżeli wierzyciel godzi się, z różnych względów, np. ekonomicznych, na zawarcie niekorzystnej dla siebie umowy. Z </w:t>
      </w:r>
      <w:r w:rsidRPr="00C4755C">
        <w:rPr>
          <w:rFonts w:cs="Times New Roman"/>
          <w:i/>
          <w:szCs w:val="24"/>
        </w:rPr>
        <w:t>Europejskiego Raportu Płatności</w:t>
      </w:r>
      <w:r w:rsidRPr="00C4755C">
        <w:rPr>
          <w:rFonts w:cs="Times New Roman"/>
          <w:szCs w:val="24"/>
        </w:rPr>
        <w:t xml:space="preserve"> </w:t>
      </w:r>
      <w:r w:rsidRPr="00C4755C">
        <w:rPr>
          <w:rFonts w:cs="Times New Roman"/>
          <w:i/>
          <w:szCs w:val="24"/>
        </w:rPr>
        <w:t>2017</w:t>
      </w:r>
      <w:r w:rsidR="0008607E" w:rsidRPr="00C4755C">
        <w:rPr>
          <w:rFonts w:cs="Times New Roman"/>
          <w:szCs w:val="24"/>
        </w:rPr>
        <w:t xml:space="preserve"> wynika, że w</w:t>
      </w:r>
      <w:r w:rsidR="00C4755C">
        <w:rPr>
          <w:rFonts w:cs="Times New Roman"/>
          <w:szCs w:val="24"/>
        </w:rPr>
        <w:t xml:space="preserve"> </w:t>
      </w:r>
      <w:r w:rsidRPr="00C4755C">
        <w:rPr>
          <w:rFonts w:cs="Times New Roman"/>
          <w:szCs w:val="24"/>
        </w:rPr>
        <w:t>2017 r. aż 52% polskich firm została zmuszona do zaakceptowania dłuższych terminów płatności.</w:t>
      </w:r>
    </w:p>
    <w:p w14:paraId="70E8D18E" w14:textId="3E311FC0" w:rsidR="0037797F" w:rsidRPr="00C4755C" w:rsidRDefault="0008607E" w:rsidP="00C4755C">
      <w:pPr>
        <w:pStyle w:val="CM4"/>
        <w:spacing w:before="120" w:line="360" w:lineRule="auto"/>
        <w:jc w:val="both"/>
      </w:pPr>
      <w:r w:rsidRPr="00C4755C">
        <w:t>N</w:t>
      </w:r>
      <w:r w:rsidR="0037797F" w:rsidRPr="00C4755C">
        <w:t>ierzetelne regulowanie własnych płatności oraz narzucanie w</w:t>
      </w:r>
      <w:r w:rsidR="00584C51" w:rsidRPr="00C4755C">
        <w:t xml:space="preserve"> </w:t>
      </w:r>
      <w:r w:rsidR="0037797F" w:rsidRPr="00C4755C">
        <w:t>warunkach przewagi rynkowej nadmiernie wydłużonych terminów płatności powoduje:</w:t>
      </w:r>
    </w:p>
    <w:p w14:paraId="2EBC2C19" w14:textId="77777777" w:rsidR="0037797F" w:rsidRPr="00C4755C" w:rsidRDefault="0037797F" w:rsidP="008A4755">
      <w:pPr>
        <w:widowControl/>
        <w:numPr>
          <w:ilvl w:val="0"/>
          <w:numId w:val="19"/>
        </w:numPr>
        <w:autoSpaceDE/>
        <w:autoSpaceDN/>
        <w:adjustRightInd/>
        <w:ind w:left="357" w:hanging="357"/>
        <w:jc w:val="both"/>
        <w:rPr>
          <w:rFonts w:eastAsiaTheme="minorHAnsi" w:cs="Times New Roman"/>
          <w:szCs w:val="24"/>
        </w:rPr>
      </w:pPr>
      <w:r w:rsidRPr="00C4755C">
        <w:rPr>
          <w:rFonts w:eastAsiaTheme="minorHAnsi" w:cs="Times New Roman"/>
          <w:szCs w:val="24"/>
        </w:rPr>
        <w:t>brak możliwości regulowania przez wierzycieli własnych należności, co prowadzić może do narastania zjawiska zatorów płatniczych;</w:t>
      </w:r>
    </w:p>
    <w:p w14:paraId="03F48A23" w14:textId="1EE979CA" w:rsidR="0037797F" w:rsidRPr="00C4755C" w:rsidRDefault="0037797F" w:rsidP="008A4755">
      <w:pPr>
        <w:widowControl/>
        <w:numPr>
          <w:ilvl w:val="0"/>
          <w:numId w:val="19"/>
        </w:numPr>
        <w:autoSpaceDE/>
        <w:autoSpaceDN/>
        <w:adjustRightInd/>
        <w:ind w:left="357" w:hanging="357"/>
        <w:jc w:val="both"/>
        <w:rPr>
          <w:rFonts w:eastAsiaTheme="minorHAnsi" w:cs="Times New Roman"/>
          <w:szCs w:val="24"/>
        </w:rPr>
      </w:pPr>
      <w:r w:rsidRPr="00C4755C">
        <w:rPr>
          <w:rFonts w:eastAsiaTheme="minorHAnsi" w:cs="Times New Roman"/>
          <w:szCs w:val="24"/>
        </w:rPr>
        <w:t>ponoszenie dodatkowych kosztów prowadzenia działalności związanych z</w:t>
      </w:r>
      <w:r w:rsidR="00C4755C">
        <w:rPr>
          <w:rFonts w:eastAsiaTheme="minorHAnsi" w:cs="Times New Roman"/>
          <w:szCs w:val="24"/>
        </w:rPr>
        <w:t xml:space="preserve"> </w:t>
      </w:r>
      <w:r w:rsidRPr="00C4755C">
        <w:rPr>
          <w:rFonts w:eastAsiaTheme="minorHAnsi" w:cs="Times New Roman"/>
          <w:szCs w:val="24"/>
        </w:rPr>
        <w:t>przeterminowanymi należnościami;</w:t>
      </w:r>
    </w:p>
    <w:p w14:paraId="57640607" w14:textId="334A4885" w:rsidR="0037797F" w:rsidRPr="00C4755C" w:rsidRDefault="0037797F" w:rsidP="008A4755">
      <w:pPr>
        <w:widowControl/>
        <w:numPr>
          <w:ilvl w:val="0"/>
          <w:numId w:val="20"/>
        </w:numPr>
        <w:autoSpaceDE/>
        <w:autoSpaceDN/>
        <w:adjustRightInd/>
        <w:ind w:left="357" w:hanging="357"/>
        <w:jc w:val="both"/>
        <w:rPr>
          <w:rFonts w:eastAsiaTheme="minorHAnsi" w:cs="Times New Roman"/>
          <w:szCs w:val="24"/>
        </w:rPr>
      </w:pPr>
      <w:r w:rsidRPr="00C4755C">
        <w:rPr>
          <w:rFonts w:eastAsiaTheme="minorHAnsi" w:cs="Times New Roman"/>
          <w:szCs w:val="24"/>
        </w:rPr>
        <w:t>osłabienie inwestycji – szczególnie przez przedsiębiorstwa z sektora MŚP; wynika to z</w:t>
      </w:r>
      <w:r w:rsidR="00C4755C">
        <w:rPr>
          <w:rFonts w:eastAsiaTheme="minorHAnsi" w:cs="Times New Roman"/>
          <w:szCs w:val="24"/>
        </w:rPr>
        <w:t xml:space="preserve"> </w:t>
      </w:r>
      <w:r w:rsidRPr="00C4755C">
        <w:rPr>
          <w:rFonts w:eastAsiaTheme="minorHAnsi" w:cs="Times New Roman"/>
          <w:szCs w:val="24"/>
        </w:rPr>
        <w:t>faktu, że inwestycje charakteryzują się dużą elastycznością, czyli możliwością odłożenia ich w czasie w przypadku problemów z</w:t>
      </w:r>
      <w:r w:rsidR="00584C51" w:rsidRPr="00C4755C">
        <w:rPr>
          <w:rFonts w:eastAsiaTheme="minorHAnsi" w:cs="Times New Roman"/>
          <w:szCs w:val="24"/>
        </w:rPr>
        <w:t xml:space="preserve"> </w:t>
      </w:r>
      <w:r w:rsidRPr="00C4755C">
        <w:rPr>
          <w:rFonts w:eastAsiaTheme="minorHAnsi" w:cs="Times New Roman"/>
          <w:szCs w:val="24"/>
        </w:rPr>
        <w:t>kapitałem;</w:t>
      </w:r>
    </w:p>
    <w:p w14:paraId="334825EB" w14:textId="77777777" w:rsidR="0037797F" w:rsidRPr="00C4755C" w:rsidRDefault="0037797F" w:rsidP="008A4755">
      <w:pPr>
        <w:widowControl/>
        <w:numPr>
          <w:ilvl w:val="0"/>
          <w:numId w:val="20"/>
        </w:numPr>
        <w:autoSpaceDE/>
        <w:autoSpaceDN/>
        <w:adjustRightInd/>
        <w:ind w:left="357" w:hanging="357"/>
        <w:jc w:val="both"/>
        <w:rPr>
          <w:rFonts w:eastAsiaTheme="minorHAnsi" w:cs="Times New Roman"/>
          <w:szCs w:val="24"/>
        </w:rPr>
      </w:pPr>
      <w:r w:rsidRPr="00C4755C">
        <w:rPr>
          <w:rFonts w:eastAsiaTheme="minorHAnsi" w:cs="Times New Roman"/>
          <w:szCs w:val="24"/>
        </w:rPr>
        <w:t>trudności z wprowadzaniem na rynek nowych produktów, co w konsekwencji hamuje rozwój przedsiębiorstw (wzrost);</w:t>
      </w:r>
    </w:p>
    <w:p w14:paraId="71E36702" w14:textId="77777777" w:rsidR="0037797F" w:rsidRPr="00C4755C" w:rsidRDefault="0037797F" w:rsidP="008A4755">
      <w:pPr>
        <w:widowControl/>
        <w:numPr>
          <w:ilvl w:val="0"/>
          <w:numId w:val="20"/>
        </w:numPr>
        <w:autoSpaceDE/>
        <w:autoSpaceDN/>
        <w:adjustRightInd/>
        <w:ind w:left="357" w:hanging="357"/>
        <w:jc w:val="both"/>
        <w:rPr>
          <w:rFonts w:eastAsiaTheme="minorHAnsi" w:cs="Times New Roman"/>
          <w:szCs w:val="24"/>
        </w:rPr>
      </w:pPr>
      <w:r w:rsidRPr="00C4755C">
        <w:rPr>
          <w:rFonts w:eastAsiaTheme="minorHAnsi" w:cs="Times New Roman"/>
          <w:szCs w:val="24"/>
        </w:rPr>
        <w:t>konieczność podnoszenia cen produktów lub usług;</w:t>
      </w:r>
    </w:p>
    <w:p w14:paraId="3BF3B23C" w14:textId="77777777" w:rsidR="0037797F" w:rsidRPr="00C4755C" w:rsidRDefault="0037797F" w:rsidP="008A4755">
      <w:pPr>
        <w:pStyle w:val="Akapitzlist"/>
        <w:numPr>
          <w:ilvl w:val="0"/>
          <w:numId w:val="20"/>
        </w:numPr>
        <w:spacing w:before="0" w:line="360" w:lineRule="auto"/>
        <w:ind w:left="357" w:hanging="357"/>
        <w:contextualSpacing w:val="0"/>
      </w:pPr>
      <w:r w:rsidRPr="00C4755C">
        <w:t>zmniejszanie funduszu wynagrodzeń, w tym ograniczanie zatrudnienia.</w:t>
      </w:r>
    </w:p>
    <w:p w14:paraId="5238A912" w14:textId="09F8FF6E" w:rsidR="00E969A3" w:rsidRPr="00C4755C" w:rsidRDefault="0037797F" w:rsidP="00C4755C">
      <w:pPr>
        <w:spacing w:before="120"/>
        <w:jc w:val="both"/>
        <w:rPr>
          <w:rFonts w:cs="Times New Roman"/>
          <w:color w:val="000000"/>
          <w:szCs w:val="24"/>
          <w:lang w:eastAsia="en-US"/>
        </w:rPr>
      </w:pPr>
      <w:r w:rsidRPr="00C4755C">
        <w:rPr>
          <w:rFonts w:cs="Times New Roman"/>
          <w:szCs w:val="24"/>
        </w:rPr>
        <w:t xml:space="preserve">W związku z powyższym zachodzi potrzeba poprawy otoczenia prawnego, w jakim funkcjonują strony transakcji handlowych, po to, </w:t>
      </w:r>
      <w:r w:rsidR="0067713E">
        <w:rPr>
          <w:rFonts w:cs="Times New Roman"/>
          <w:szCs w:val="24"/>
        </w:rPr>
        <w:t>a</w:t>
      </w:r>
      <w:r w:rsidRPr="00C4755C">
        <w:rPr>
          <w:rFonts w:cs="Times New Roman"/>
          <w:szCs w:val="24"/>
        </w:rPr>
        <w:t xml:space="preserve">by umożliwić zredukowanie zatorów płatniczych. </w:t>
      </w:r>
      <w:r w:rsidR="0008607E" w:rsidRPr="00C4755C">
        <w:rPr>
          <w:rFonts w:cs="Times New Roman"/>
          <w:szCs w:val="24"/>
        </w:rPr>
        <w:t>W tym kontekście n</w:t>
      </w:r>
      <w:r w:rsidRPr="00C4755C">
        <w:rPr>
          <w:rFonts w:cs="Times New Roman"/>
          <w:szCs w:val="24"/>
        </w:rPr>
        <w:t xml:space="preserve">ie sposób oderwać się od już obowiązującej </w:t>
      </w:r>
      <w:r w:rsidR="0008607E" w:rsidRPr="00C4755C">
        <w:rPr>
          <w:rFonts w:cs="Times New Roman"/>
          <w:szCs w:val="24"/>
        </w:rPr>
        <w:t>ustawy</w:t>
      </w:r>
      <w:r w:rsidR="009B7429" w:rsidRPr="00C4755C">
        <w:rPr>
          <w:rFonts w:cs="Times New Roman"/>
          <w:szCs w:val="24"/>
        </w:rPr>
        <w:t xml:space="preserve"> z dnia 8 marca 2013 r.</w:t>
      </w:r>
      <w:r w:rsidR="0008607E" w:rsidRPr="00C4755C">
        <w:rPr>
          <w:rFonts w:cs="Times New Roman"/>
          <w:szCs w:val="24"/>
        </w:rPr>
        <w:t xml:space="preserve"> o</w:t>
      </w:r>
      <w:r w:rsidR="00584C51" w:rsidRPr="00C4755C">
        <w:rPr>
          <w:rFonts w:cs="Times New Roman"/>
          <w:szCs w:val="24"/>
        </w:rPr>
        <w:t xml:space="preserve"> </w:t>
      </w:r>
      <w:r w:rsidR="00BF397A" w:rsidRPr="00C4755C">
        <w:rPr>
          <w:rFonts w:cs="Times New Roman"/>
          <w:szCs w:val="24"/>
        </w:rPr>
        <w:t>terminach zapłaty w</w:t>
      </w:r>
      <w:r w:rsidR="00584C51" w:rsidRPr="00C4755C">
        <w:rPr>
          <w:rFonts w:cs="Times New Roman"/>
          <w:szCs w:val="24"/>
        </w:rPr>
        <w:t xml:space="preserve"> </w:t>
      </w:r>
      <w:r w:rsidR="00BF397A" w:rsidRPr="00C4755C">
        <w:rPr>
          <w:rFonts w:cs="Times New Roman"/>
          <w:szCs w:val="24"/>
        </w:rPr>
        <w:t>transakcjach handlowych</w:t>
      </w:r>
      <w:r w:rsidR="009B7429" w:rsidRPr="00C4755C">
        <w:rPr>
          <w:rFonts w:cs="Times New Roman"/>
          <w:szCs w:val="24"/>
        </w:rPr>
        <w:t xml:space="preserve"> </w:t>
      </w:r>
      <w:r w:rsidR="00025363" w:rsidRPr="00C4755C">
        <w:rPr>
          <w:rFonts w:cs="Times New Roman"/>
          <w:szCs w:val="24"/>
        </w:rPr>
        <w:t>(</w:t>
      </w:r>
      <w:r w:rsidR="009B7429" w:rsidRPr="00C4755C">
        <w:rPr>
          <w:rFonts w:cs="Times New Roman"/>
          <w:szCs w:val="24"/>
        </w:rPr>
        <w:t>dalej: „ustaw</w:t>
      </w:r>
      <w:r w:rsidR="00025363" w:rsidRPr="00C4755C">
        <w:rPr>
          <w:rFonts w:cs="Times New Roman"/>
          <w:szCs w:val="24"/>
        </w:rPr>
        <w:t>a</w:t>
      </w:r>
      <w:r w:rsidR="009B7429" w:rsidRPr="00C4755C">
        <w:rPr>
          <w:rFonts w:cs="Times New Roman"/>
          <w:szCs w:val="24"/>
        </w:rPr>
        <w:t xml:space="preserve"> o</w:t>
      </w:r>
      <w:r w:rsidR="00C4755C">
        <w:rPr>
          <w:rFonts w:cs="Times New Roman"/>
          <w:szCs w:val="24"/>
        </w:rPr>
        <w:t xml:space="preserve"> </w:t>
      </w:r>
      <w:r w:rsidR="009B7429" w:rsidRPr="00C4755C">
        <w:rPr>
          <w:rFonts w:cs="Times New Roman"/>
          <w:szCs w:val="24"/>
        </w:rPr>
        <w:t>terminach zapłaty”</w:t>
      </w:r>
      <w:r w:rsidR="00025363" w:rsidRPr="00C4755C">
        <w:rPr>
          <w:rFonts w:cs="Times New Roman"/>
          <w:szCs w:val="24"/>
        </w:rPr>
        <w:t>)</w:t>
      </w:r>
      <w:r w:rsidR="00E969A3" w:rsidRPr="00C4755C">
        <w:rPr>
          <w:rFonts w:cs="Times New Roman"/>
          <w:szCs w:val="24"/>
        </w:rPr>
        <w:t>,</w:t>
      </w:r>
      <w:r w:rsidR="00BF397A" w:rsidRPr="00C4755C">
        <w:rPr>
          <w:rFonts w:cs="Times New Roman"/>
          <w:szCs w:val="24"/>
        </w:rPr>
        <w:t xml:space="preserve"> </w:t>
      </w:r>
      <w:r w:rsidR="00E969A3" w:rsidRPr="00C4755C">
        <w:rPr>
          <w:rFonts w:cs="Times New Roman"/>
          <w:szCs w:val="24"/>
        </w:rPr>
        <w:t>która stanowi wdrożenie do prawa polskiego dyrektywy 2011/7/</w:t>
      </w:r>
      <w:r w:rsidR="00D81DFA" w:rsidRPr="00C4755C">
        <w:rPr>
          <w:rFonts w:cs="Times New Roman"/>
          <w:szCs w:val="24"/>
        </w:rPr>
        <w:t>UE</w:t>
      </w:r>
      <w:r w:rsidR="00E969A3" w:rsidRPr="00C4755C">
        <w:rPr>
          <w:rStyle w:val="Odwoanieprzypisudolnego"/>
          <w:szCs w:val="24"/>
        </w:rPr>
        <w:footnoteReference w:id="4"/>
      </w:r>
      <w:r w:rsidR="00F05B61" w:rsidRPr="00C4755C">
        <w:rPr>
          <w:rFonts w:cs="Times New Roman"/>
          <w:szCs w:val="24"/>
          <w:vertAlign w:val="superscript"/>
        </w:rPr>
        <w:t>)</w:t>
      </w:r>
      <w:r w:rsidRPr="00C4755C">
        <w:rPr>
          <w:rFonts w:cs="Times New Roman"/>
          <w:szCs w:val="24"/>
        </w:rPr>
        <w:t xml:space="preserve">. Jej celem było </w:t>
      </w:r>
      <w:r w:rsidR="00BF397A" w:rsidRPr="00C4755C">
        <w:rPr>
          <w:rFonts w:cs="Times New Roman"/>
          <w:szCs w:val="24"/>
        </w:rPr>
        <w:t>skróceni</w:t>
      </w:r>
      <w:r w:rsidR="00BA1287" w:rsidRPr="00C4755C">
        <w:rPr>
          <w:rFonts w:cs="Times New Roman"/>
          <w:szCs w:val="24"/>
        </w:rPr>
        <w:t>e</w:t>
      </w:r>
      <w:r w:rsidR="00BF397A" w:rsidRPr="00C4755C">
        <w:rPr>
          <w:rFonts w:cs="Times New Roman"/>
          <w:szCs w:val="24"/>
        </w:rPr>
        <w:t xml:space="preserve"> terminów zapłaty i</w:t>
      </w:r>
      <w:r w:rsidR="00584C51" w:rsidRPr="00C4755C">
        <w:rPr>
          <w:rFonts w:cs="Times New Roman"/>
          <w:szCs w:val="24"/>
        </w:rPr>
        <w:t xml:space="preserve"> </w:t>
      </w:r>
      <w:r w:rsidR="00BF397A" w:rsidRPr="00C4755C">
        <w:rPr>
          <w:rFonts w:cs="Times New Roman"/>
          <w:szCs w:val="24"/>
        </w:rPr>
        <w:t>zwiększenie dyscypliny płatn</w:t>
      </w:r>
      <w:r w:rsidR="00FF0441" w:rsidRPr="00C4755C">
        <w:rPr>
          <w:rFonts w:cs="Times New Roman"/>
          <w:szCs w:val="24"/>
        </w:rPr>
        <w:t xml:space="preserve">iczej w obrocie gospodarczym. </w:t>
      </w:r>
      <w:r w:rsidR="00272985" w:rsidRPr="00C4755C">
        <w:rPr>
          <w:rFonts w:cs="Times New Roman"/>
          <w:szCs w:val="24"/>
        </w:rPr>
        <w:t>Jak podk</w:t>
      </w:r>
      <w:r w:rsidRPr="00C4755C">
        <w:rPr>
          <w:rFonts w:cs="Times New Roman"/>
          <w:szCs w:val="24"/>
        </w:rPr>
        <w:t>reślił Sąd Najwyższy w wyroku z</w:t>
      </w:r>
      <w:r w:rsidR="00584C51" w:rsidRPr="00C4755C">
        <w:rPr>
          <w:rFonts w:cs="Times New Roman"/>
          <w:szCs w:val="24"/>
        </w:rPr>
        <w:t xml:space="preserve"> </w:t>
      </w:r>
      <w:r w:rsidR="00272985" w:rsidRPr="00C4755C">
        <w:rPr>
          <w:rFonts w:cs="Times New Roman"/>
          <w:szCs w:val="24"/>
        </w:rPr>
        <w:t>28 listopada 2007 r.</w:t>
      </w:r>
      <w:r w:rsidR="00272985" w:rsidRPr="00C4755C">
        <w:rPr>
          <w:rStyle w:val="Odwoanieprzypisudolnego"/>
          <w:szCs w:val="24"/>
        </w:rPr>
        <w:footnoteReference w:id="5"/>
      </w:r>
      <w:r w:rsidR="00F05B61" w:rsidRPr="00C4755C">
        <w:rPr>
          <w:rFonts w:cs="Times New Roman"/>
          <w:szCs w:val="24"/>
          <w:vertAlign w:val="superscript"/>
        </w:rPr>
        <w:t>)</w:t>
      </w:r>
      <w:r w:rsidR="0011247B" w:rsidRPr="00C4755C">
        <w:rPr>
          <w:rFonts w:cs="Times New Roman"/>
          <w:szCs w:val="24"/>
        </w:rPr>
        <w:t>,</w:t>
      </w:r>
      <w:r w:rsidR="00272985" w:rsidRPr="00C4755C">
        <w:rPr>
          <w:rFonts w:cs="Times New Roman"/>
          <w:szCs w:val="24"/>
        </w:rPr>
        <w:t xml:space="preserve"> rozwiązania przyjęte w tej ustawie miały na celu</w:t>
      </w:r>
      <w:r w:rsidR="005C58B1" w:rsidRPr="00C4755C">
        <w:rPr>
          <w:rFonts w:cs="Times New Roman"/>
          <w:szCs w:val="24"/>
        </w:rPr>
        <w:t xml:space="preserve"> </w:t>
      </w:r>
      <w:r w:rsidR="00A23234" w:rsidRPr="00C4755C">
        <w:rPr>
          <w:rFonts w:cs="Times New Roman"/>
          <w:szCs w:val="24"/>
        </w:rPr>
        <w:t>przyznani</w:t>
      </w:r>
      <w:r w:rsidR="00272985" w:rsidRPr="00C4755C">
        <w:rPr>
          <w:rFonts w:cs="Times New Roman"/>
          <w:szCs w:val="24"/>
        </w:rPr>
        <w:t>e</w:t>
      </w:r>
      <w:r w:rsidR="00A23234" w:rsidRPr="00C4755C">
        <w:rPr>
          <w:rFonts w:cs="Times New Roman"/>
          <w:szCs w:val="24"/>
        </w:rPr>
        <w:t xml:space="preserve"> „ochrony małym przedsiębiorcom, których pozycja w kon</w:t>
      </w:r>
      <w:r w:rsidRPr="00C4755C">
        <w:rPr>
          <w:rFonts w:cs="Times New Roman"/>
          <w:szCs w:val="24"/>
        </w:rPr>
        <w:t>taktach handlowych z</w:t>
      </w:r>
      <w:r w:rsidR="00584C51" w:rsidRPr="00C4755C">
        <w:rPr>
          <w:rFonts w:cs="Times New Roman"/>
          <w:szCs w:val="24"/>
        </w:rPr>
        <w:t xml:space="preserve"> </w:t>
      </w:r>
      <w:r w:rsidR="00A23234" w:rsidRPr="00C4755C">
        <w:rPr>
          <w:rFonts w:cs="Times New Roman"/>
          <w:szCs w:val="24"/>
        </w:rPr>
        <w:t xml:space="preserve">przedsiębiorcami nie posiadającymi takiego statusu jest wyraźnie słabsza. Konieczne zwłaszcza było </w:t>
      </w:r>
      <w:r w:rsidR="00A23234" w:rsidRPr="00C4755C">
        <w:rPr>
          <w:rFonts w:cs="Times New Roman"/>
          <w:szCs w:val="24"/>
        </w:rPr>
        <w:lastRenderedPageBreak/>
        <w:t>zapobieganie stałym praktykom polegającym na faktycznym kredytowaniu własnej działalności poprzez wymuszanie od</w:t>
      </w:r>
      <w:r w:rsidR="00E760F6" w:rsidRPr="00C4755C">
        <w:rPr>
          <w:rFonts w:cs="Times New Roman"/>
          <w:szCs w:val="24"/>
        </w:rPr>
        <w:t>roczonych terminów płatnoś</w:t>
      </w:r>
      <w:r w:rsidR="00BC74E7" w:rsidRPr="00C4755C">
        <w:rPr>
          <w:rFonts w:cs="Times New Roman"/>
          <w:szCs w:val="24"/>
        </w:rPr>
        <w:t>ci, a</w:t>
      </w:r>
      <w:r w:rsidR="00584C51" w:rsidRPr="00C4755C">
        <w:rPr>
          <w:rFonts w:cs="Times New Roman"/>
          <w:szCs w:val="24"/>
        </w:rPr>
        <w:t xml:space="preserve"> </w:t>
      </w:r>
      <w:r w:rsidR="00A23234" w:rsidRPr="00C4755C">
        <w:rPr>
          <w:rFonts w:cs="Times New Roman"/>
          <w:szCs w:val="24"/>
        </w:rPr>
        <w:t xml:space="preserve">nawet zaniechanie terminowego płacenia należności”. </w:t>
      </w:r>
      <w:r w:rsidRPr="00C4755C">
        <w:rPr>
          <w:rFonts w:cs="Times New Roman"/>
          <w:szCs w:val="24"/>
        </w:rPr>
        <w:t>Niestety, obecnie obowiązujące przepisy nie okazały się w pełni skuteczne, a d</w:t>
      </w:r>
      <w:r w:rsidR="005B4266" w:rsidRPr="00C4755C">
        <w:rPr>
          <w:rFonts w:cs="Times New Roman"/>
          <w:szCs w:val="24"/>
        </w:rPr>
        <w:t xml:space="preserve">iagnoza </w:t>
      </w:r>
      <w:r w:rsidR="00A23234" w:rsidRPr="00C4755C">
        <w:rPr>
          <w:rFonts w:cs="Times New Roman"/>
          <w:szCs w:val="24"/>
        </w:rPr>
        <w:t>Sąd</w:t>
      </w:r>
      <w:r w:rsidR="005B4266" w:rsidRPr="00C4755C">
        <w:rPr>
          <w:rFonts w:cs="Times New Roman"/>
          <w:szCs w:val="24"/>
        </w:rPr>
        <w:t>u</w:t>
      </w:r>
      <w:r w:rsidR="00A23234" w:rsidRPr="00C4755C">
        <w:rPr>
          <w:rFonts w:cs="Times New Roman"/>
          <w:szCs w:val="24"/>
        </w:rPr>
        <w:t xml:space="preserve"> Najwyższego nadal w dużej mierze </w:t>
      </w:r>
      <w:r w:rsidRPr="00C4755C">
        <w:rPr>
          <w:rFonts w:cs="Times New Roman"/>
          <w:szCs w:val="24"/>
        </w:rPr>
        <w:t>pozostaje</w:t>
      </w:r>
      <w:r w:rsidR="00E969A3" w:rsidRPr="00C4755C">
        <w:rPr>
          <w:rFonts w:cs="Times New Roman"/>
          <w:szCs w:val="24"/>
        </w:rPr>
        <w:t xml:space="preserve"> </w:t>
      </w:r>
      <w:r w:rsidR="00A23234" w:rsidRPr="00C4755C">
        <w:rPr>
          <w:rFonts w:cs="Times New Roman"/>
          <w:szCs w:val="24"/>
        </w:rPr>
        <w:t>aktualna.</w:t>
      </w:r>
    </w:p>
    <w:p w14:paraId="1D8C26B6" w14:textId="1D231907" w:rsidR="00CF55CD" w:rsidRPr="00C4755C" w:rsidRDefault="0008607E" w:rsidP="00C4755C">
      <w:pPr>
        <w:pStyle w:val="CM4"/>
        <w:spacing w:before="120" w:line="360" w:lineRule="auto"/>
        <w:jc w:val="both"/>
      </w:pPr>
      <w:r w:rsidRPr="00C4755C">
        <w:t>Jak wynika z przytoczonych powyżej danych, im mniejsze przedsiębiorstwo, tym większy udział kosztów wynikających z opóźnień w płatnościach w kosztach całkowitych. Tymczasem to właśnie r</w:t>
      </w:r>
      <w:r w:rsidR="008A7920" w:rsidRPr="00C4755C">
        <w:t xml:space="preserve">ozwój małych i średnich przedsiębiorstw jest warunkiem trwałego rozwoju gospodarczego. </w:t>
      </w:r>
      <w:r w:rsidR="008009AF" w:rsidRPr="00C4755C">
        <w:t>Jednym z warunków</w:t>
      </w:r>
      <w:r w:rsidR="008A7920" w:rsidRPr="00C4755C">
        <w:t xml:space="preserve"> realizacji tego celu, co podkreślono także w</w:t>
      </w:r>
      <w:r w:rsidR="00C4755C">
        <w:t xml:space="preserve"> </w:t>
      </w:r>
      <w:r w:rsidR="008A7920" w:rsidRPr="00C4755C">
        <w:rPr>
          <w:i/>
        </w:rPr>
        <w:t>Strategi</w:t>
      </w:r>
      <w:r w:rsidR="008009AF" w:rsidRPr="00C4755C">
        <w:rPr>
          <w:i/>
        </w:rPr>
        <w:t>i</w:t>
      </w:r>
      <w:r w:rsidR="008A7920" w:rsidRPr="00C4755C">
        <w:rPr>
          <w:i/>
        </w:rPr>
        <w:t xml:space="preserve"> na rzecz Odpowiedzialnego Rozwoju</w:t>
      </w:r>
      <w:r w:rsidR="008A7920" w:rsidRPr="00C4755C">
        <w:rPr>
          <w:vertAlign w:val="superscript"/>
        </w:rPr>
        <w:footnoteReference w:id="6"/>
      </w:r>
      <w:r w:rsidR="00F05B61" w:rsidRPr="00C4755C">
        <w:rPr>
          <w:vertAlign w:val="superscript"/>
        </w:rPr>
        <w:t>)</w:t>
      </w:r>
      <w:r w:rsidR="008A7920" w:rsidRPr="00C4755C">
        <w:t>,</w:t>
      </w:r>
      <w:r w:rsidR="008009AF" w:rsidRPr="00C4755C">
        <w:t xml:space="preserve"> jest</w:t>
      </w:r>
      <w:r w:rsidR="008A7920" w:rsidRPr="00C4755C">
        <w:t xml:space="preserve"> </w:t>
      </w:r>
      <w:r w:rsidR="008009AF" w:rsidRPr="00C4755C">
        <w:t>„polepszenie jakości otoczenia prawnego” działalności tych podmiotów.</w:t>
      </w:r>
      <w:r w:rsidR="008A7920" w:rsidRPr="00C4755C">
        <w:t xml:space="preserve"> </w:t>
      </w:r>
      <w:r w:rsidR="00A23234" w:rsidRPr="00C4755C">
        <w:t>W</w:t>
      </w:r>
      <w:r w:rsidR="00FE0399" w:rsidRPr="00C4755C">
        <w:t xml:space="preserve"> </w:t>
      </w:r>
      <w:r w:rsidR="00A23234" w:rsidRPr="00C4755C">
        <w:t>związku z powyższym</w:t>
      </w:r>
      <w:r w:rsidR="004F5384" w:rsidRPr="00C4755C">
        <w:t>,</w:t>
      </w:r>
      <w:r w:rsidR="00A23234" w:rsidRPr="00C4755C">
        <w:t xml:space="preserve"> celowe jest wprowadzenie zmian, które w sposób </w:t>
      </w:r>
      <w:r w:rsidR="00E969A3" w:rsidRPr="00C4755C">
        <w:t xml:space="preserve">bardziej </w:t>
      </w:r>
      <w:r w:rsidR="00A23234" w:rsidRPr="00C4755C">
        <w:t>zdecydowany zmniejszą „atrakcyjność” narzucania wydłużonych terminów zapłaty</w:t>
      </w:r>
      <w:r w:rsidR="00E969A3" w:rsidRPr="00C4755C">
        <w:t>, zwłaszcza przez silniejszych uczestników obrotu</w:t>
      </w:r>
      <w:r w:rsidR="00CF55CD" w:rsidRPr="00C4755C">
        <w:t xml:space="preserve"> oraz ograniczą</w:t>
      </w:r>
      <w:r w:rsidR="009B2356" w:rsidRPr="00C4755C">
        <w:t xml:space="preserve"> problem opóźnień w</w:t>
      </w:r>
      <w:r w:rsidR="00FE0399" w:rsidRPr="00C4755C">
        <w:t xml:space="preserve"> </w:t>
      </w:r>
      <w:r w:rsidR="00CF55CD" w:rsidRPr="00C4755C">
        <w:t>regulowaniu należności</w:t>
      </w:r>
      <w:r w:rsidR="00A23234" w:rsidRPr="00C4755C">
        <w:t>.</w:t>
      </w:r>
    </w:p>
    <w:p w14:paraId="68DB5A2F" w14:textId="77777777" w:rsidR="00AF7229" w:rsidRPr="00C4755C" w:rsidRDefault="00AF7229" w:rsidP="00C4755C">
      <w:pPr>
        <w:spacing w:before="120"/>
        <w:jc w:val="both"/>
        <w:rPr>
          <w:rFonts w:cs="Times New Roman"/>
          <w:color w:val="000000"/>
          <w:szCs w:val="24"/>
          <w:lang w:eastAsia="en-US"/>
        </w:rPr>
      </w:pPr>
      <w:r w:rsidRPr="00C4755C">
        <w:rPr>
          <w:rFonts w:cs="Times New Roman"/>
          <w:color w:val="000000"/>
          <w:szCs w:val="24"/>
          <w:lang w:eastAsia="en-US"/>
        </w:rPr>
        <w:t>W toku uzgodnień wiele podmiotów wskazywało na to, że stosowanie prywatnoprawnych rozwiązań jest nieskuteczne w walce z zatorami płatniczymi. Wobec tego zdecydowano się na wprowadzenie administracyjnoprawnego narzędzia, jakim będzie nakładanie kar administracyjnych na podmioty nadmiernie opóźniające się z regulowaniem swoich zobowiązań.</w:t>
      </w:r>
    </w:p>
    <w:p w14:paraId="7B3902DB" w14:textId="728B583E" w:rsidR="00485D09" w:rsidRPr="00C4755C" w:rsidRDefault="00E969A3" w:rsidP="00C4755C">
      <w:pPr>
        <w:pStyle w:val="CM4"/>
        <w:spacing w:before="120" w:line="360" w:lineRule="auto"/>
        <w:jc w:val="both"/>
      </w:pPr>
      <w:r w:rsidRPr="00C4755C">
        <w:t>Przepisy ustawy przewidują rozwiązania, które zmierzają do eliminacji „na</w:t>
      </w:r>
      <w:r w:rsidRPr="00C4755C">
        <w:rPr>
          <w:color w:val="000000"/>
        </w:rPr>
        <w:t>dużywania swobody zawierania umów na niekorzyść wierzyciela”</w:t>
      </w:r>
      <w:r w:rsidRPr="00C4755C">
        <w:rPr>
          <w:rStyle w:val="Odwoanieprzypisudolnego"/>
          <w:color w:val="000000"/>
        </w:rPr>
        <w:footnoteReference w:id="7"/>
      </w:r>
      <w:r w:rsidR="00F05B61" w:rsidRPr="00C4755C">
        <w:rPr>
          <w:vertAlign w:val="superscript"/>
        </w:rPr>
        <w:t>)</w:t>
      </w:r>
      <w:r w:rsidR="0008607E" w:rsidRPr="00C4755C">
        <w:rPr>
          <w:color w:val="000000"/>
        </w:rPr>
        <w:t xml:space="preserve"> (w tym szczególnie wierzyciela z</w:t>
      </w:r>
      <w:r w:rsidR="00C4755C">
        <w:rPr>
          <w:color w:val="000000"/>
        </w:rPr>
        <w:t xml:space="preserve"> </w:t>
      </w:r>
      <w:r w:rsidR="0008607E" w:rsidRPr="00C4755C">
        <w:rPr>
          <w:color w:val="000000"/>
        </w:rPr>
        <w:t>sektora MŚP w asymetrycznej relacji z dłużnikiem będącym dużym przedsiębiorcą)</w:t>
      </w:r>
      <w:r w:rsidRPr="00C4755C">
        <w:rPr>
          <w:color w:val="000000"/>
        </w:rPr>
        <w:t>.</w:t>
      </w:r>
    </w:p>
    <w:p w14:paraId="1C34080A" w14:textId="5F9A21F2" w:rsidR="00485D09" w:rsidRPr="00C4755C" w:rsidRDefault="00485D09" w:rsidP="00C4755C">
      <w:pPr>
        <w:spacing w:before="120"/>
        <w:jc w:val="both"/>
        <w:rPr>
          <w:rFonts w:cs="Times New Roman"/>
          <w:color w:val="000000"/>
          <w:szCs w:val="24"/>
          <w:lang w:eastAsia="en-US"/>
        </w:rPr>
      </w:pPr>
      <w:r w:rsidRPr="00C4755C">
        <w:rPr>
          <w:rFonts w:cs="Times New Roman"/>
          <w:color w:val="000000"/>
          <w:szCs w:val="24"/>
          <w:lang w:eastAsia="en-US"/>
        </w:rPr>
        <w:t>Konsekwencje stosowania przez kontrahentów wydłużonych terminów zapłaty są szczególnie niekorzystne dla mniejszych przedsiębiorców. Dane potwierdzają, że im mniejsze przedsiębiorstwo</w:t>
      </w:r>
      <w:r w:rsidR="0067713E">
        <w:rPr>
          <w:rFonts w:cs="Times New Roman"/>
          <w:color w:val="000000"/>
          <w:szCs w:val="24"/>
          <w:lang w:eastAsia="en-US"/>
        </w:rPr>
        <w:t>,</w:t>
      </w:r>
      <w:r w:rsidRPr="00C4755C">
        <w:rPr>
          <w:rFonts w:cs="Times New Roman"/>
          <w:color w:val="000000"/>
          <w:szCs w:val="24"/>
          <w:lang w:eastAsia="en-US"/>
        </w:rPr>
        <w:t xml:space="preserve"> tym wyższy udział kosztów związanych z zatorami płatniczymi w kosztach działalności (odpowiednio 8% dla mikro i 3,3% dla dużych). Ponadto im mniejsze przedsiębiorstwo</w:t>
      </w:r>
      <w:r w:rsidR="0067713E">
        <w:rPr>
          <w:rFonts w:cs="Times New Roman"/>
          <w:color w:val="000000"/>
          <w:szCs w:val="24"/>
          <w:lang w:eastAsia="en-US"/>
        </w:rPr>
        <w:t>,</w:t>
      </w:r>
      <w:r w:rsidRPr="00C4755C">
        <w:rPr>
          <w:rFonts w:cs="Times New Roman"/>
          <w:color w:val="000000"/>
          <w:szCs w:val="24"/>
          <w:lang w:eastAsia="en-US"/>
        </w:rPr>
        <w:t xml:space="preserve"> tym wpływ zatorów na ograniczenie inwestycji jest większy. </w:t>
      </w:r>
      <w:r w:rsidR="00BB4F21" w:rsidRPr="00C4755C">
        <w:rPr>
          <w:rFonts w:cs="Times New Roman"/>
          <w:color w:val="000000"/>
          <w:szCs w:val="24"/>
          <w:lang w:eastAsia="en-US"/>
        </w:rPr>
        <w:t xml:space="preserve">Natomiast nie ma konieczności regulowania stosunków cywilnoprawnych między kontrahentami MŚP z uwagi na fakt, że zwykle rzadko można mówić o </w:t>
      </w:r>
      <w:r w:rsidR="00BB4F21" w:rsidRPr="00C4755C">
        <w:rPr>
          <w:rFonts w:cs="Times New Roman"/>
          <w:color w:val="000000"/>
          <w:szCs w:val="24"/>
          <w:lang w:eastAsia="en-US"/>
        </w:rPr>
        <w:lastRenderedPageBreak/>
        <w:t>przewadze kontraktowej między nimi.</w:t>
      </w:r>
    </w:p>
    <w:p w14:paraId="62BAEBAF" w14:textId="02302193" w:rsidR="00A23234" w:rsidRPr="00C4755C" w:rsidRDefault="00E969A3" w:rsidP="00C4755C">
      <w:pPr>
        <w:pStyle w:val="CM4"/>
        <w:spacing w:before="120" w:line="360" w:lineRule="auto"/>
        <w:jc w:val="both"/>
        <w:rPr>
          <w:color w:val="000000"/>
        </w:rPr>
      </w:pPr>
      <w:r w:rsidRPr="00C4755C">
        <w:t>Nie ma</w:t>
      </w:r>
      <w:r w:rsidR="00F375A1" w:rsidRPr="00C4755C">
        <w:t xml:space="preserve"> przy tym </w:t>
      </w:r>
      <w:r w:rsidRPr="00C4755C">
        <w:t>wątpliwości, że już obecnie</w:t>
      </w:r>
      <w:r w:rsidR="00872888" w:rsidRPr="00C4755C">
        <w:t xml:space="preserve"> obowiązujące</w:t>
      </w:r>
      <w:r w:rsidRPr="00C4755C">
        <w:t xml:space="preserve"> </w:t>
      </w:r>
      <w:r w:rsidR="00872888" w:rsidRPr="00C4755C">
        <w:t xml:space="preserve">przepisy ustawy </w:t>
      </w:r>
      <w:r w:rsidR="0008607E" w:rsidRPr="00C4755C">
        <w:t xml:space="preserve">o terminach zapłaty </w:t>
      </w:r>
      <w:r w:rsidRPr="00C4755C">
        <w:t>przewidują ograniczenia zasady swobody umów.</w:t>
      </w:r>
      <w:r w:rsidR="00872888" w:rsidRPr="00C4755C">
        <w:t xml:space="preserve"> </w:t>
      </w:r>
      <w:r w:rsidR="0008607E" w:rsidRPr="00C4755C">
        <w:t>Jednak p</w:t>
      </w:r>
      <w:r w:rsidR="00872888" w:rsidRPr="00C4755C">
        <w:t>onieważ oddziaływanie dzisiejszych r</w:t>
      </w:r>
      <w:r w:rsidRPr="00C4755C">
        <w:t xml:space="preserve">egulacji </w:t>
      </w:r>
      <w:r w:rsidR="00872888" w:rsidRPr="00C4755C">
        <w:t xml:space="preserve">jest niesatysfakcjonujące, zachodzi potrzeba </w:t>
      </w:r>
      <w:r w:rsidRPr="00C4755C">
        <w:t xml:space="preserve">wprowadzenia dalszych </w:t>
      </w:r>
      <w:r w:rsidR="00872888" w:rsidRPr="00C4755C">
        <w:t>zmian legislacyjnych</w:t>
      </w:r>
      <w:r w:rsidRPr="00C4755C">
        <w:t xml:space="preserve">. </w:t>
      </w:r>
      <w:r w:rsidR="0008607E" w:rsidRPr="00C4755C">
        <w:t>Warto przy tym podkreślić, że j</w:t>
      </w:r>
      <w:r w:rsidRPr="00C4755C">
        <w:t xml:space="preserve">est </w:t>
      </w:r>
      <w:r w:rsidR="003937DD" w:rsidRPr="00C4755C">
        <w:t xml:space="preserve">to </w:t>
      </w:r>
      <w:r w:rsidRPr="00C4755C">
        <w:t>trend ogólnoeuropejski</w:t>
      </w:r>
      <w:r w:rsidR="002D2AF7" w:rsidRPr="00C4755C">
        <w:rPr>
          <w:rStyle w:val="Odwoanieprzypisudolnego"/>
          <w:color w:val="000000"/>
        </w:rPr>
        <w:footnoteReference w:id="8"/>
      </w:r>
      <w:r w:rsidR="00F05B61" w:rsidRPr="00C4755C">
        <w:rPr>
          <w:vertAlign w:val="superscript"/>
        </w:rPr>
        <w:t>)</w:t>
      </w:r>
      <w:r w:rsidRPr="00C4755C">
        <w:t xml:space="preserve">. </w:t>
      </w:r>
      <w:r w:rsidR="00CF55CD" w:rsidRPr="00C4755C">
        <w:t xml:space="preserve">Przykładowo, </w:t>
      </w:r>
      <w:r w:rsidR="00E760F6" w:rsidRPr="00C4755C">
        <w:t>istotne zmiany w</w:t>
      </w:r>
      <w:r w:rsidR="00584C51" w:rsidRPr="00C4755C">
        <w:t xml:space="preserve"> </w:t>
      </w:r>
      <w:r w:rsidRPr="00C4755C">
        <w:t>pod</w:t>
      </w:r>
      <w:r w:rsidR="00CF55CD" w:rsidRPr="00C4755C">
        <w:t xml:space="preserve">obnych przepisach przyjął </w:t>
      </w:r>
      <w:r w:rsidRPr="00C4755C">
        <w:t>ustawodawca holenderski</w:t>
      </w:r>
      <w:r w:rsidR="00AB36AB" w:rsidRPr="00C4755C">
        <w:t>.</w:t>
      </w:r>
      <w:r w:rsidR="00CF55CD" w:rsidRPr="00C4755C">
        <w:rPr>
          <w:color w:val="000000"/>
        </w:rPr>
        <w:t xml:space="preserve"> Od lipca</w:t>
      </w:r>
      <w:r w:rsidR="00852658" w:rsidRPr="00C4755C">
        <w:rPr>
          <w:color w:val="000000"/>
        </w:rPr>
        <w:t xml:space="preserve"> </w:t>
      </w:r>
      <w:r w:rsidR="00F375A1" w:rsidRPr="00C4755C">
        <w:rPr>
          <w:color w:val="000000"/>
        </w:rPr>
        <w:t xml:space="preserve">2017 r. w Holandii </w:t>
      </w:r>
      <w:r w:rsidR="00BD7D00" w:rsidRPr="00C4755C">
        <w:rPr>
          <w:color w:val="000000"/>
        </w:rPr>
        <w:t>obowiązuje regulacja, zgodnie z</w:t>
      </w:r>
      <w:r w:rsidR="00584C51" w:rsidRPr="00C4755C">
        <w:rPr>
          <w:color w:val="000000"/>
        </w:rPr>
        <w:t xml:space="preserve"> </w:t>
      </w:r>
      <w:r w:rsidR="00BD7D00" w:rsidRPr="00C4755C">
        <w:rPr>
          <w:color w:val="000000"/>
        </w:rPr>
        <w:t xml:space="preserve">którą w </w:t>
      </w:r>
      <w:r w:rsidR="00F375A1" w:rsidRPr="00C4755C">
        <w:rPr>
          <w:color w:val="000000"/>
        </w:rPr>
        <w:t>umowach z MŚP (wg definicji UE) termin z</w:t>
      </w:r>
      <w:r w:rsidR="00CF55CD" w:rsidRPr="00C4755C">
        <w:rPr>
          <w:color w:val="000000"/>
        </w:rPr>
        <w:t>apłaty dłuższy niż 60 dni jest nieważny i zostaje</w:t>
      </w:r>
      <w:r w:rsidR="00F375A1" w:rsidRPr="00C4755C">
        <w:rPr>
          <w:color w:val="000000"/>
        </w:rPr>
        <w:t xml:space="preserve"> automatycznie przekształcony w</w:t>
      </w:r>
      <w:r w:rsidR="00FE0399" w:rsidRPr="00C4755C">
        <w:rPr>
          <w:color w:val="000000"/>
        </w:rPr>
        <w:t xml:space="preserve"> </w:t>
      </w:r>
      <w:r w:rsidR="00E760F6" w:rsidRPr="00C4755C">
        <w:rPr>
          <w:color w:val="000000"/>
        </w:rPr>
        <w:t>termin</w:t>
      </w:r>
      <w:r w:rsidR="00584C51" w:rsidRPr="00C4755C">
        <w:rPr>
          <w:color w:val="000000"/>
        </w:rPr>
        <w:t xml:space="preserve"> </w:t>
      </w:r>
      <w:r w:rsidR="00E760F6" w:rsidRPr="00C4755C">
        <w:rPr>
          <w:color w:val="000000"/>
        </w:rPr>
        <w:t>30-</w:t>
      </w:r>
      <w:r w:rsidR="009A5E56" w:rsidRPr="00C4755C">
        <w:rPr>
          <w:color w:val="000000"/>
        </w:rPr>
        <w:t>dniowy.</w:t>
      </w:r>
      <w:r w:rsidR="0008607E" w:rsidRPr="00C4755C">
        <w:rPr>
          <w:color w:val="000000"/>
        </w:rPr>
        <w:t xml:space="preserve"> Również </w:t>
      </w:r>
      <w:r w:rsidR="001571F2" w:rsidRPr="00C4755C">
        <w:rPr>
          <w:color w:val="000000"/>
        </w:rPr>
        <w:t>ustawodawstwo</w:t>
      </w:r>
      <w:r w:rsidR="0008607E" w:rsidRPr="00C4755C">
        <w:rPr>
          <w:color w:val="000000"/>
        </w:rPr>
        <w:t xml:space="preserve"> francuskie przewiduje szereg rozwiązań, głównie branżowych, narzucających maksymalne terminy zapłaty, a nawet kary administracyjne za ich przekraczanie.</w:t>
      </w:r>
    </w:p>
    <w:p w14:paraId="37F071BD" w14:textId="0B84AED1" w:rsidR="00A3429D" w:rsidRPr="00C4755C" w:rsidRDefault="0008607E" w:rsidP="00C4755C">
      <w:pPr>
        <w:pStyle w:val="CM4"/>
        <w:spacing w:before="120" w:line="360" w:lineRule="auto"/>
        <w:jc w:val="both"/>
      </w:pPr>
      <w:r w:rsidRPr="00C4755C">
        <w:t>Z tych wszystkich względów p</w:t>
      </w:r>
      <w:r w:rsidR="00740B20" w:rsidRPr="00C4755C">
        <w:t>r</w:t>
      </w:r>
      <w:r w:rsidR="00F23CB3" w:rsidRPr="00C4755C">
        <w:t>iorytetem w pr</w:t>
      </w:r>
      <w:r w:rsidR="00740B20" w:rsidRPr="00C4755C">
        <w:t>zedłożony</w:t>
      </w:r>
      <w:r w:rsidR="00F23CB3" w:rsidRPr="00C4755C">
        <w:t>m</w:t>
      </w:r>
      <w:r w:rsidR="00740B20" w:rsidRPr="00C4755C">
        <w:t xml:space="preserve"> projek</w:t>
      </w:r>
      <w:r w:rsidR="00F23CB3" w:rsidRPr="00C4755C">
        <w:t>cie</w:t>
      </w:r>
      <w:r w:rsidR="00740B20" w:rsidRPr="00C4755C">
        <w:t xml:space="preserve"> jest przyjęcie skutecznych instrumentów ochrony </w:t>
      </w:r>
      <w:r w:rsidR="00F23CB3" w:rsidRPr="00C4755C">
        <w:t>w</w:t>
      </w:r>
      <w:r w:rsidR="00740B20" w:rsidRPr="00C4755C">
        <w:t xml:space="preserve">ierzycieli. </w:t>
      </w:r>
      <w:r w:rsidR="00F23CB3" w:rsidRPr="00C4755C">
        <w:t xml:space="preserve">Tego celu nie sposób osiągnąć inaczej, niż przez </w:t>
      </w:r>
      <w:r w:rsidR="00740B20" w:rsidRPr="00C4755C">
        <w:t xml:space="preserve">przyjęcie również takich rozwiązań, które </w:t>
      </w:r>
      <w:r w:rsidR="00FF34CB" w:rsidRPr="00C4755C">
        <w:t xml:space="preserve">w nowoczesny sposób </w:t>
      </w:r>
      <w:r w:rsidR="00740B20" w:rsidRPr="00C4755C">
        <w:t xml:space="preserve">rozwijają tradycyjne instytucje prawa cywilnego. </w:t>
      </w:r>
      <w:r w:rsidR="0075649C" w:rsidRPr="00C4755C">
        <w:t>W polskim systemie prawa n</w:t>
      </w:r>
      <w:r w:rsidR="00740B20" w:rsidRPr="00C4755C">
        <w:t xml:space="preserve">ie jest to zresztą niczym </w:t>
      </w:r>
      <w:r w:rsidR="00FF34CB" w:rsidRPr="00C4755C">
        <w:t>nowym</w:t>
      </w:r>
      <w:r w:rsidR="00740B20" w:rsidRPr="00C4755C">
        <w:t xml:space="preserve">. </w:t>
      </w:r>
      <w:r w:rsidR="0075649C" w:rsidRPr="00C4755C">
        <w:t>Przykładowo, j</w:t>
      </w:r>
      <w:r w:rsidR="00740B20" w:rsidRPr="00C4755C">
        <w:t>uż od wielu lat prawo</w:t>
      </w:r>
      <w:r w:rsidR="00B801DC" w:rsidRPr="00C4755C">
        <w:t xml:space="preserve"> polskie</w:t>
      </w:r>
      <w:r w:rsidR="0075649C" w:rsidRPr="00C4755C">
        <w:t xml:space="preserve"> </w:t>
      </w:r>
      <w:r w:rsidR="00740B20" w:rsidRPr="00C4755C">
        <w:t xml:space="preserve">przewiduje </w:t>
      </w:r>
      <w:r w:rsidR="00F375A1" w:rsidRPr="00C4755C">
        <w:t xml:space="preserve">możliwość naliczenia odsetek ustawowych </w:t>
      </w:r>
      <w:r w:rsidR="00740B20" w:rsidRPr="00C4755C">
        <w:t>za okres przypadający przed terminem zapłaty, a więc</w:t>
      </w:r>
      <w:r w:rsidR="00FF34CB" w:rsidRPr="00C4755C">
        <w:t xml:space="preserve"> przed terminem tradycyjnie rozumianej wymagalności</w:t>
      </w:r>
      <w:r w:rsidR="00F375A1" w:rsidRPr="00C4755C">
        <w:rPr>
          <w:rStyle w:val="Odwoanieprzypisudolnego"/>
        </w:rPr>
        <w:footnoteReference w:id="9"/>
      </w:r>
      <w:r w:rsidR="00F05B61" w:rsidRPr="00C4755C">
        <w:rPr>
          <w:vertAlign w:val="superscript"/>
        </w:rPr>
        <w:t>)</w:t>
      </w:r>
      <w:r w:rsidR="00FF34CB" w:rsidRPr="00C4755C">
        <w:t>.</w:t>
      </w:r>
    </w:p>
    <w:p w14:paraId="54B2EB15" w14:textId="159E52B3" w:rsidR="00F23CB3" w:rsidRPr="00C4755C" w:rsidRDefault="005F3EF6" w:rsidP="00C4755C">
      <w:pPr>
        <w:pStyle w:val="CM4"/>
        <w:spacing w:before="120" w:line="360" w:lineRule="auto"/>
        <w:jc w:val="both"/>
      </w:pPr>
      <w:r w:rsidRPr="00C4755C">
        <w:t xml:space="preserve">Poza zmianami przewidującymi rozwiązania o charakterze </w:t>
      </w:r>
      <w:r w:rsidRPr="00C4755C">
        <w:rPr>
          <w:i/>
        </w:rPr>
        <w:t>stricte</w:t>
      </w:r>
      <w:r w:rsidRPr="00C4755C">
        <w:t xml:space="preserve"> cywilnoprawnym, proponuje się zmiany innych ustaw o charakterze administracyjnoprawnym</w:t>
      </w:r>
      <w:r w:rsidR="0008607E" w:rsidRPr="00C4755C">
        <w:t>, w tym podatkowy</w:t>
      </w:r>
      <w:r w:rsidR="00CD7029" w:rsidRPr="00C4755C">
        <w:t>m</w:t>
      </w:r>
      <w:r w:rsidR="0008607E" w:rsidRPr="00C4755C">
        <w:t>, jak również</w:t>
      </w:r>
      <w:r w:rsidRPr="00C4755C">
        <w:t xml:space="preserve"> z zakresu prawa wykroczeń.</w:t>
      </w:r>
    </w:p>
    <w:p w14:paraId="49CD20FB" w14:textId="6D31B464" w:rsidR="00EE1420" w:rsidRPr="00C4755C" w:rsidRDefault="00774E05" w:rsidP="008A4755">
      <w:pPr>
        <w:numPr>
          <w:ilvl w:val="0"/>
          <w:numId w:val="2"/>
        </w:numPr>
        <w:spacing w:before="240"/>
        <w:ind w:left="448" w:hanging="352"/>
        <w:jc w:val="both"/>
        <w:rPr>
          <w:rFonts w:cs="Times New Roman"/>
          <w:b/>
          <w:szCs w:val="24"/>
        </w:rPr>
      </w:pPr>
      <w:r w:rsidRPr="00C4755C">
        <w:rPr>
          <w:rFonts w:cs="Times New Roman"/>
          <w:b/>
          <w:szCs w:val="24"/>
        </w:rPr>
        <w:t>Szczegółowy opis proponowanych zmian</w:t>
      </w:r>
    </w:p>
    <w:p w14:paraId="66B44B47" w14:textId="00477449" w:rsidR="004A1831" w:rsidRPr="00C4755C" w:rsidRDefault="00C56B90" w:rsidP="00C4755C">
      <w:pPr>
        <w:spacing w:before="120"/>
        <w:jc w:val="both"/>
        <w:rPr>
          <w:rFonts w:cs="Times New Roman"/>
          <w:b/>
          <w:szCs w:val="24"/>
        </w:rPr>
      </w:pPr>
      <w:r w:rsidRPr="00C4755C">
        <w:rPr>
          <w:rFonts w:cs="Times New Roman"/>
          <w:b/>
          <w:szCs w:val="24"/>
        </w:rPr>
        <w:t>1</w:t>
      </w:r>
      <w:r w:rsidR="00942157" w:rsidRPr="00C4755C">
        <w:rPr>
          <w:rFonts w:cs="Times New Roman"/>
          <w:b/>
          <w:szCs w:val="24"/>
        </w:rPr>
        <w:t xml:space="preserve">. </w:t>
      </w:r>
      <w:r w:rsidR="004A1831" w:rsidRPr="00C4755C">
        <w:rPr>
          <w:rFonts w:cs="Times New Roman"/>
          <w:b/>
          <w:szCs w:val="24"/>
        </w:rPr>
        <w:t>Zmiany w ustawie – Kodek</w:t>
      </w:r>
      <w:r w:rsidRPr="00C4755C">
        <w:rPr>
          <w:rFonts w:cs="Times New Roman"/>
          <w:b/>
          <w:szCs w:val="24"/>
        </w:rPr>
        <w:t>s postępowania cywilnego</w:t>
      </w:r>
      <w:r w:rsidR="00822591" w:rsidRPr="00C4755C">
        <w:rPr>
          <w:rStyle w:val="Odwoanieprzypisudolnego"/>
          <w:b/>
          <w:szCs w:val="24"/>
        </w:rPr>
        <w:footnoteReference w:id="10"/>
      </w:r>
      <w:r w:rsidR="00F05B61" w:rsidRPr="00C4755C">
        <w:rPr>
          <w:rFonts w:cs="Times New Roman"/>
          <w:szCs w:val="24"/>
          <w:vertAlign w:val="superscript"/>
        </w:rPr>
        <w:t>)</w:t>
      </w:r>
      <w:r w:rsidRPr="00C4755C">
        <w:rPr>
          <w:rFonts w:cs="Times New Roman"/>
          <w:b/>
          <w:szCs w:val="24"/>
        </w:rPr>
        <w:t xml:space="preserve"> (art. 1</w:t>
      </w:r>
      <w:r w:rsidR="004A1831" w:rsidRPr="00C4755C">
        <w:rPr>
          <w:rFonts w:cs="Times New Roman"/>
          <w:b/>
          <w:szCs w:val="24"/>
        </w:rPr>
        <w:t>)</w:t>
      </w:r>
    </w:p>
    <w:p w14:paraId="4FA0D7DE" w14:textId="74E34C5E" w:rsidR="00D5699F" w:rsidRPr="00C4755C" w:rsidRDefault="004A1831" w:rsidP="00C4755C">
      <w:pPr>
        <w:spacing w:before="120"/>
        <w:jc w:val="both"/>
        <w:rPr>
          <w:rFonts w:cs="Times New Roman"/>
          <w:szCs w:val="24"/>
        </w:rPr>
      </w:pPr>
      <w:r w:rsidRPr="00C4755C">
        <w:rPr>
          <w:rFonts w:cs="Times New Roman"/>
          <w:szCs w:val="24"/>
        </w:rPr>
        <w:t>W projekcie zaproponowano wprowadzenie upr</w:t>
      </w:r>
      <w:r w:rsidR="002A4072" w:rsidRPr="00C4755C">
        <w:rPr>
          <w:rFonts w:cs="Times New Roman"/>
          <w:szCs w:val="24"/>
        </w:rPr>
        <w:t xml:space="preserve">oszczonej procedury </w:t>
      </w:r>
      <w:r w:rsidR="00E83878" w:rsidRPr="00C4755C">
        <w:rPr>
          <w:rFonts w:cs="Times New Roman"/>
          <w:szCs w:val="24"/>
        </w:rPr>
        <w:t>zabezpieczającej w</w:t>
      </w:r>
      <w:r w:rsidR="00C4755C">
        <w:rPr>
          <w:rFonts w:cs="Times New Roman"/>
          <w:szCs w:val="24"/>
        </w:rPr>
        <w:t xml:space="preserve"> </w:t>
      </w:r>
      <w:r w:rsidR="00E83878" w:rsidRPr="00C4755C">
        <w:rPr>
          <w:rFonts w:cs="Times New Roman"/>
          <w:szCs w:val="24"/>
        </w:rPr>
        <w:t>sprawach o roszczenia pienięż</w:t>
      </w:r>
      <w:r w:rsidR="00381B26" w:rsidRPr="00C4755C">
        <w:rPr>
          <w:rFonts w:cs="Times New Roman"/>
          <w:szCs w:val="24"/>
        </w:rPr>
        <w:t>ne z tytułu transakcji handlowych</w:t>
      </w:r>
      <w:r w:rsidR="00E83878" w:rsidRPr="00C4755C">
        <w:rPr>
          <w:rFonts w:cs="Times New Roman"/>
          <w:szCs w:val="24"/>
        </w:rPr>
        <w:t xml:space="preserve"> w</w:t>
      </w:r>
      <w:r w:rsidR="00584C51" w:rsidRPr="00C4755C">
        <w:rPr>
          <w:rFonts w:cs="Times New Roman"/>
          <w:szCs w:val="24"/>
        </w:rPr>
        <w:t xml:space="preserve"> </w:t>
      </w:r>
      <w:r w:rsidR="00E83878" w:rsidRPr="00C4755C">
        <w:rPr>
          <w:rFonts w:cs="Times New Roman"/>
          <w:szCs w:val="24"/>
        </w:rPr>
        <w:t xml:space="preserve">rozumieniu ustawy </w:t>
      </w:r>
      <w:r w:rsidR="00172A62" w:rsidRPr="00C4755C">
        <w:rPr>
          <w:rFonts w:cs="Times New Roman"/>
          <w:szCs w:val="24"/>
        </w:rPr>
        <w:t>o</w:t>
      </w:r>
      <w:r w:rsidR="00C4755C">
        <w:rPr>
          <w:rFonts w:cs="Times New Roman"/>
          <w:szCs w:val="24"/>
        </w:rPr>
        <w:t xml:space="preserve"> </w:t>
      </w:r>
      <w:r w:rsidR="00E83878" w:rsidRPr="00C4755C">
        <w:rPr>
          <w:rFonts w:cs="Times New Roman"/>
          <w:szCs w:val="24"/>
        </w:rPr>
        <w:t>terminach zapłaty</w:t>
      </w:r>
      <w:r w:rsidR="0033709A" w:rsidRPr="00C4755C">
        <w:rPr>
          <w:rFonts w:cs="Times New Roman"/>
          <w:szCs w:val="24"/>
        </w:rPr>
        <w:t xml:space="preserve"> (po zmianie: </w:t>
      </w:r>
      <w:r w:rsidR="001171A5" w:rsidRPr="00C4755C">
        <w:rPr>
          <w:rFonts w:cs="Times New Roman"/>
          <w:szCs w:val="24"/>
        </w:rPr>
        <w:t xml:space="preserve">ustawy </w:t>
      </w:r>
      <w:r w:rsidR="0033709A" w:rsidRPr="00C4755C">
        <w:rPr>
          <w:rFonts w:cs="Times New Roman"/>
          <w:szCs w:val="24"/>
        </w:rPr>
        <w:t>o przeciwdzi</w:t>
      </w:r>
      <w:r w:rsidR="00F3246B" w:rsidRPr="00C4755C">
        <w:rPr>
          <w:rFonts w:cs="Times New Roman"/>
          <w:szCs w:val="24"/>
        </w:rPr>
        <w:t>ałaniu nadmiernym opóźnieniom w</w:t>
      </w:r>
      <w:r w:rsidR="00C4755C">
        <w:rPr>
          <w:rFonts w:cs="Times New Roman"/>
          <w:szCs w:val="24"/>
        </w:rPr>
        <w:t xml:space="preserve"> </w:t>
      </w:r>
      <w:r w:rsidR="0033709A" w:rsidRPr="00C4755C">
        <w:rPr>
          <w:rFonts w:cs="Times New Roman"/>
          <w:szCs w:val="24"/>
        </w:rPr>
        <w:lastRenderedPageBreak/>
        <w:t>transakcjach handlowych)</w:t>
      </w:r>
      <w:r w:rsidR="00E83878" w:rsidRPr="00C4755C">
        <w:rPr>
          <w:rFonts w:cs="Times New Roman"/>
          <w:szCs w:val="24"/>
        </w:rPr>
        <w:t xml:space="preserve">, w których wartość wynagrodzenia nie przekracza siedemdziesięciu pięciu tysięcy złotych. </w:t>
      </w:r>
      <w:r w:rsidR="00D5699F" w:rsidRPr="00C4755C">
        <w:rPr>
          <w:rFonts w:cs="Times New Roman"/>
          <w:szCs w:val="24"/>
        </w:rPr>
        <w:t>Obecnie sąd udziela zabezpieczenia</w:t>
      </w:r>
      <w:r w:rsidR="0067713E">
        <w:rPr>
          <w:rFonts w:cs="Times New Roman"/>
          <w:szCs w:val="24"/>
        </w:rPr>
        <w:t>,</w:t>
      </w:r>
      <w:r w:rsidR="00D5699F" w:rsidRPr="00C4755C">
        <w:rPr>
          <w:rFonts w:cs="Times New Roman"/>
          <w:szCs w:val="24"/>
        </w:rPr>
        <w:t xml:space="preserve"> jeżeli strona uprawdopodobni roszczenie oraz interes prawny w udzieleniu zabezpieczenia.</w:t>
      </w:r>
    </w:p>
    <w:p w14:paraId="4E14A9B8" w14:textId="26C92C6F" w:rsidR="00E3548F" w:rsidRPr="00C4755C" w:rsidRDefault="00E3548F" w:rsidP="00C4755C">
      <w:pPr>
        <w:spacing w:before="120"/>
        <w:jc w:val="both"/>
        <w:rPr>
          <w:rFonts w:cs="Times New Roman"/>
          <w:szCs w:val="24"/>
        </w:rPr>
      </w:pPr>
      <w:r w:rsidRPr="00C4755C">
        <w:rPr>
          <w:rFonts w:cs="Times New Roman"/>
          <w:szCs w:val="24"/>
        </w:rPr>
        <w:t xml:space="preserve">Odniesienie projektowanej zmiany do </w:t>
      </w:r>
      <w:r w:rsidR="00AF0939" w:rsidRPr="00C4755C">
        <w:rPr>
          <w:rFonts w:cs="Times New Roman"/>
          <w:szCs w:val="24"/>
        </w:rPr>
        <w:t xml:space="preserve">świadczeń </w:t>
      </w:r>
      <w:r w:rsidRPr="00C4755C">
        <w:rPr>
          <w:rFonts w:cs="Times New Roman"/>
          <w:szCs w:val="24"/>
        </w:rPr>
        <w:t>pieniężnych z tytułu transakcji handlowych, których wartość nie</w:t>
      </w:r>
      <w:r w:rsidR="00F3246B" w:rsidRPr="00C4755C">
        <w:rPr>
          <w:rFonts w:cs="Times New Roman"/>
          <w:szCs w:val="24"/>
        </w:rPr>
        <w:t xml:space="preserve"> przekracza 75 tys. </w:t>
      </w:r>
      <w:r w:rsidR="0067713E">
        <w:rPr>
          <w:rFonts w:cs="Times New Roman"/>
          <w:szCs w:val="24"/>
        </w:rPr>
        <w:t>z</w:t>
      </w:r>
      <w:r w:rsidR="00F3246B" w:rsidRPr="00C4755C">
        <w:rPr>
          <w:rFonts w:cs="Times New Roman"/>
          <w:szCs w:val="24"/>
        </w:rPr>
        <w:t>ł</w:t>
      </w:r>
      <w:r w:rsidR="0067713E">
        <w:rPr>
          <w:rFonts w:cs="Times New Roman"/>
          <w:szCs w:val="24"/>
        </w:rPr>
        <w:t>,</w:t>
      </w:r>
      <w:r w:rsidR="00F3246B" w:rsidRPr="00C4755C">
        <w:rPr>
          <w:rFonts w:cs="Times New Roman"/>
          <w:szCs w:val="24"/>
        </w:rPr>
        <w:t xml:space="preserve"> wynika z</w:t>
      </w:r>
      <w:r w:rsidR="0090411F" w:rsidRPr="00C4755C">
        <w:rPr>
          <w:rFonts w:cs="Times New Roman"/>
          <w:szCs w:val="24"/>
        </w:rPr>
        <w:t xml:space="preserve"> </w:t>
      </w:r>
      <w:r w:rsidRPr="00C4755C">
        <w:rPr>
          <w:rFonts w:cs="Times New Roman"/>
          <w:szCs w:val="24"/>
        </w:rPr>
        <w:t>wyważenia interesu wierzyciela i dłużnika. Z jednej strony</w:t>
      </w:r>
      <w:r w:rsidR="0067713E">
        <w:rPr>
          <w:rFonts w:cs="Times New Roman"/>
          <w:szCs w:val="24"/>
        </w:rPr>
        <w:t>,</w:t>
      </w:r>
      <w:r w:rsidRPr="00C4755C">
        <w:rPr>
          <w:rFonts w:cs="Times New Roman"/>
          <w:szCs w:val="24"/>
        </w:rPr>
        <w:t xml:space="preserve"> projektodawca dostrzegł potrzebę zwiększenia ochrony wierzycieli w związku</w:t>
      </w:r>
      <w:r w:rsidR="00FD3C0D" w:rsidRPr="00C4755C">
        <w:rPr>
          <w:rFonts w:cs="Times New Roman"/>
          <w:szCs w:val="24"/>
        </w:rPr>
        <w:t xml:space="preserve"> ze spotykanym w obrocie proced</w:t>
      </w:r>
      <w:r w:rsidRPr="00C4755C">
        <w:rPr>
          <w:rFonts w:cs="Times New Roman"/>
          <w:szCs w:val="24"/>
        </w:rPr>
        <w:t>e</w:t>
      </w:r>
      <w:r w:rsidR="00FD3C0D" w:rsidRPr="00C4755C">
        <w:rPr>
          <w:rFonts w:cs="Times New Roman"/>
          <w:szCs w:val="24"/>
        </w:rPr>
        <w:t>re</w:t>
      </w:r>
      <w:r w:rsidRPr="00C4755C">
        <w:rPr>
          <w:rFonts w:cs="Times New Roman"/>
          <w:szCs w:val="24"/>
        </w:rPr>
        <w:t>m wytransfer</w:t>
      </w:r>
      <w:r w:rsidR="00C74F7F" w:rsidRPr="00C4755C">
        <w:rPr>
          <w:rFonts w:cs="Times New Roman"/>
          <w:szCs w:val="24"/>
        </w:rPr>
        <w:t>owywania majątku przez dłużnika. Z drugiej strony</w:t>
      </w:r>
      <w:r w:rsidR="0067713E">
        <w:rPr>
          <w:rFonts w:cs="Times New Roman"/>
          <w:szCs w:val="24"/>
        </w:rPr>
        <w:t>,</w:t>
      </w:r>
      <w:r w:rsidR="00C74F7F" w:rsidRPr="00C4755C">
        <w:rPr>
          <w:rFonts w:cs="Times New Roman"/>
          <w:szCs w:val="24"/>
        </w:rPr>
        <w:t xml:space="preserve"> zasadne było u</w:t>
      </w:r>
      <w:r w:rsidR="00FD3C0D" w:rsidRPr="00C4755C">
        <w:rPr>
          <w:rFonts w:cs="Times New Roman"/>
          <w:szCs w:val="24"/>
        </w:rPr>
        <w:t xml:space="preserve">względnienie sytuacji drugiej strony </w:t>
      </w:r>
      <w:r w:rsidR="0090411F" w:rsidRPr="00C4755C">
        <w:rPr>
          <w:rFonts w:cs="Times New Roman"/>
          <w:szCs w:val="24"/>
        </w:rPr>
        <w:t xml:space="preserve">danej </w:t>
      </w:r>
      <w:r w:rsidR="00FD3C0D" w:rsidRPr="00C4755C">
        <w:rPr>
          <w:rFonts w:cs="Times New Roman"/>
          <w:szCs w:val="24"/>
        </w:rPr>
        <w:t xml:space="preserve">transakcji. </w:t>
      </w:r>
      <w:r w:rsidR="00DB59D8">
        <w:rPr>
          <w:rFonts w:cs="Times New Roman"/>
          <w:szCs w:val="24"/>
        </w:rPr>
        <w:t>Kwota przekraczająca 75 tys. </w:t>
      </w:r>
      <w:r w:rsidR="00C74F7F" w:rsidRPr="00C4755C">
        <w:rPr>
          <w:rFonts w:cs="Times New Roman"/>
          <w:szCs w:val="24"/>
        </w:rPr>
        <w:t xml:space="preserve">zł mogłaby istotnie wpłynąć na możliwość kontynuowania </w:t>
      </w:r>
      <w:r w:rsidR="00FD3C0D" w:rsidRPr="00C4755C">
        <w:rPr>
          <w:rFonts w:cs="Times New Roman"/>
          <w:szCs w:val="24"/>
        </w:rPr>
        <w:t xml:space="preserve">przez </w:t>
      </w:r>
      <w:r w:rsidR="001571F2" w:rsidRPr="00C4755C">
        <w:rPr>
          <w:rFonts w:cs="Times New Roman"/>
          <w:szCs w:val="24"/>
        </w:rPr>
        <w:t>dłużnika</w:t>
      </w:r>
      <w:r w:rsidR="00FD3C0D" w:rsidRPr="00C4755C">
        <w:rPr>
          <w:rFonts w:cs="Times New Roman"/>
          <w:szCs w:val="24"/>
        </w:rPr>
        <w:t xml:space="preserve"> </w:t>
      </w:r>
      <w:r w:rsidR="00C74F7F" w:rsidRPr="00C4755C">
        <w:rPr>
          <w:rFonts w:cs="Times New Roman"/>
          <w:szCs w:val="24"/>
        </w:rPr>
        <w:t>działalności gospodarczej</w:t>
      </w:r>
      <w:r w:rsidR="00FD3C0D" w:rsidRPr="00C4755C">
        <w:rPr>
          <w:rFonts w:cs="Times New Roman"/>
          <w:szCs w:val="24"/>
        </w:rPr>
        <w:t>, a to ze względu na brak możliwości operowania zabezpieczonymi aktywami. Jednocześnie przywołana wartość koresponduje z właściwością sądów rejonowych jako sądów pierwszej instancji</w:t>
      </w:r>
      <w:r w:rsidRPr="00C4755C">
        <w:rPr>
          <w:rFonts w:cs="Times New Roman"/>
          <w:szCs w:val="24"/>
        </w:rPr>
        <w:t>.</w:t>
      </w:r>
    </w:p>
    <w:p w14:paraId="696C29F9" w14:textId="10AEB5EE" w:rsidR="004628A5" w:rsidRPr="00C4755C" w:rsidRDefault="00E83878" w:rsidP="00C4755C">
      <w:pPr>
        <w:spacing w:before="120"/>
        <w:jc w:val="both"/>
        <w:rPr>
          <w:rFonts w:cs="Times New Roman"/>
          <w:szCs w:val="24"/>
        </w:rPr>
      </w:pPr>
      <w:r w:rsidRPr="00C4755C">
        <w:rPr>
          <w:rFonts w:cs="Times New Roman"/>
          <w:szCs w:val="24"/>
        </w:rPr>
        <w:t xml:space="preserve">W </w:t>
      </w:r>
      <w:r w:rsidR="00D5699F" w:rsidRPr="00C4755C">
        <w:rPr>
          <w:rFonts w:cs="Times New Roman"/>
          <w:szCs w:val="24"/>
        </w:rPr>
        <w:t xml:space="preserve">projektowanych przepisach wprost wskazano, że w </w:t>
      </w:r>
      <w:r w:rsidRPr="00C4755C">
        <w:rPr>
          <w:rFonts w:cs="Times New Roman"/>
          <w:szCs w:val="24"/>
        </w:rPr>
        <w:t xml:space="preserve">takich przypadkach </w:t>
      </w:r>
      <w:r w:rsidR="00D5699F" w:rsidRPr="00C4755C">
        <w:rPr>
          <w:rFonts w:cs="Times New Roman"/>
          <w:szCs w:val="24"/>
        </w:rPr>
        <w:t>interes prawny</w:t>
      </w:r>
      <w:r w:rsidR="00A308AE" w:rsidRPr="00C4755C">
        <w:rPr>
          <w:rFonts w:cs="Times New Roman"/>
          <w:szCs w:val="24"/>
        </w:rPr>
        <w:t xml:space="preserve"> uważa się za uprawdopodobniony, gdy żądającym zabezpieczenia jest</w:t>
      </w:r>
      <w:r w:rsidR="00D5699F" w:rsidRPr="00C4755C">
        <w:rPr>
          <w:rFonts w:cs="Times New Roman"/>
          <w:szCs w:val="24"/>
        </w:rPr>
        <w:t xml:space="preserve"> powód dochodzący zapłaty z tytułu transakcji handlowej w </w:t>
      </w:r>
      <w:r w:rsidR="00EF1256" w:rsidRPr="00C4755C">
        <w:rPr>
          <w:rFonts w:cs="Times New Roman"/>
          <w:bCs/>
          <w:iCs/>
          <w:szCs w:val="24"/>
        </w:rPr>
        <w:t xml:space="preserve">przypadku gdy wartość </w:t>
      </w:r>
      <w:r w:rsidR="00EF1256" w:rsidRPr="00C4755C">
        <w:rPr>
          <w:rFonts w:cs="Times New Roman"/>
          <w:bCs/>
          <w:iCs/>
          <w:szCs w:val="24"/>
          <w:u w:val="single"/>
        </w:rPr>
        <w:t>tej transakcji</w:t>
      </w:r>
      <w:r w:rsidR="00EF1256" w:rsidRPr="00C4755C">
        <w:rPr>
          <w:rFonts w:cs="Times New Roman"/>
          <w:szCs w:val="24"/>
        </w:rPr>
        <w:t xml:space="preserve"> </w:t>
      </w:r>
      <w:r w:rsidR="00D5699F" w:rsidRPr="00C4755C">
        <w:rPr>
          <w:rFonts w:cs="Times New Roman"/>
          <w:szCs w:val="24"/>
        </w:rPr>
        <w:t>nie</w:t>
      </w:r>
      <w:r w:rsidR="00EF1256" w:rsidRPr="00C4755C">
        <w:rPr>
          <w:rFonts w:cs="Times New Roman"/>
          <w:szCs w:val="24"/>
        </w:rPr>
        <w:t xml:space="preserve"> </w:t>
      </w:r>
      <w:r w:rsidR="00D5699F" w:rsidRPr="00C4755C">
        <w:rPr>
          <w:rFonts w:cs="Times New Roman"/>
          <w:szCs w:val="24"/>
        </w:rPr>
        <w:t xml:space="preserve">przekracza siedemdziesięciu pięciu tysięcy złotych, a dochodzona należność nie została uregulowana </w:t>
      </w:r>
      <w:r w:rsidR="00C21F2C" w:rsidRPr="00C4755C">
        <w:rPr>
          <w:rFonts w:cs="Times New Roman"/>
          <w:szCs w:val="24"/>
        </w:rPr>
        <w:t>i</w:t>
      </w:r>
      <w:r w:rsidR="00C4755C">
        <w:rPr>
          <w:rFonts w:cs="Times New Roman"/>
          <w:szCs w:val="24"/>
        </w:rPr>
        <w:t xml:space="preserve"> </w:t>
      </w:r>
      <w:r w:rsidR="0098685E" w:rsidRPr="00C4755C">
        <w:rPr>
          <w:rFonts w:cs="Times New Roman"/>
          <w:szCs w:val="24"/>
        </w:rPr>
        <w:t>od dnia upływu terminu jej płatności upłynęły co najmniej trzy miesiące.</w:t>
      </w:r>
    </w:p>
    <w:p w14:paraId="3C8E7888" w14:textId="44CCB52B" w:rsidR="00EF1256" w:rsidRPr="00C4755C" w:rsidRDefault="00EF1256" w:rsidP="00C4755C">
      <w:pPr>
        <w:spacing w:before="120"/>
        <w:jc w:val="both"/>
        <w:rPr>
          <w:rFonts w:cs="Times New Roman"/>
          <w:szCs w:val="24"/>
        </w:rPr>
      </w:pPr>
      <w:r w:rsidRPr="00C4755C">
        <w:rPr>
          <w:rFonts w:cs="Times New Roman"/>
          <w:szCs w:val="24"/>
        </w:rPr>
        <w:t>Zaproponowane rozwiązanie dostatecznie zabezpieczy interesy dłużników, ponieważ kryterium pozwalającym na zastosowanie projektowanego przepisu jest „wartość transakcji handlowej”, a nie wartość przedmiotu sporu. Podobne rozwiązanie zostało przyjęte w</w:t>
      </w:r>
      <w:r w:rsidR="00C4755C">
        <w:rPr>
          <w:rFonts w:cs="Times New Roman"/>
          <w:szCs w:val="24"/>
        </w:rPr>
        <w:t xml:space="preserve"> </w:t>
      </w:r>
      <w:r w:rsidRPr="00C4755C">
        <w:rPr>
          <w:rFonts w:cs="Times New Roman"/>
          <w:szCs w:val="24"/>
        </w:rPr>
        <w:t>obowiązującym przepisie art. 505</w:t>
      </w:r>
      <w:r w:rsidRPr="00C4755C">
        <w:rPr>
          <w:rFonts w:cs="Times New Roman"/>
          <w:szCs w:val="24"/>
          <w:vertAlign w:val="superscript"/>
        </w:rPr>
        <w:t>3</w:t>
      </w:r>
      <w:r w:rsidRPr="00C4755C">
        <w:rPr>
          <w:rFonts w:cs="Times New Roman"/>
          <w:szCs w:val="24"/>
        </w:rPr>
        <w:t xml:space="preserve"> § 3 k.p.c. W przypadku tego ostatniego przepisu kryterium różnicującym jest również wartość całego roszczenia, która decyduje</w:t>
      </w:r>
      <w:r w:rsidR="0067713E">
        <w:rPr>
          <w:rFonts w:cs="Times New Roman"/>
          <w:szCs w:val="24"/>
        </w:rPr>
        <w:t>,</w:t>
      </w:r>
      <w:r w:rsidRPr="00C4755C">
        <w:rPr>
          <w:rFonts w:cs="Times New Roman"/>
          <w:szCs w:val="24"/>
        </w:rPr>
        <w:t xml:space="preserve"> czy dochodzona część roszczenia może być rozpoznawana w postępowaniu uproszczonym. Natomiast w</w:t>
      </w:r>
      <w:r w:rsidR="00542087" w:rsidRPr="00C4755C">
        <w:rPr>
          <w:rFonts w:cs="Times New Roman"/>
          <w:szCs w:val="24"/>
        </w:rPr>
        <w:t xml:space="preserve"> </w:t>
      </w:r>
      <w:r w:rsidRPr="00C4755C">
        <w:rPr>
          <w:rFonts w:cs="Times New Roman"/>
          <w:szCs w:val="24"/>
        </w:rPr>
        <w:t>omawianym, projektowanym przepisie art. 730</w:t>
      </w:r>
      <w:r w:rsidRPr="00C4755C">
        <w:rPr>
          <w:rFonts w:cs="Times New Roman"/>
          <w:szCs w:val="24"/>
          <w:vertAlign w:val="superscript"/>
        </w:rPr>
        <w:t>1</w:t>
      </w:r>
      <w:r w:rsidRPr="00C4755C">
        <w:rPr>
          <w:rFonts w:cs="Times New Roman"/>
          <w:szCs w:val="24"/>
        </w:rPr>
        <w:t xml:space="preserve"> § 2</w:t>
      </w:r>
      <w:r w:rsidRPr="00C4755C">
        <w:rPr>
          <w:rFonts w:cs="Times New Roman"/>
          <w:szCs w:val="24"/>
          <w:vertAlign w:val="superscript"/>
        </w:rPr>
        <w:t>1</w:t>
      </w:r>
      <w:r w:rsidR="00542087" w:rsidRPr="00C4755C">
        <w:rPr>
          <w:rFonts w:cs="Times New Roman"/>
          <w:szCs w:val="24"/>
        </w:rPr>
        <w:t xml:space="preserve"> </w:t>
      </w:r>
      <w:r w:rsidRPr="00C4755C">
        <w:rPr>
          <w:rFonts w:cs="Times New Roman"/>
          <w:szCs w:val="24"/>
        </w:rPr>
        <w:t>k.p.c., kryterium różnicującym jest wartość całej transakcji handlowej (tj. umowy), niezależnie od tego</w:t>
      </w:r>
      <w:r w:rsidR="0067713E">
        <w:rPr>
          <w:rFonts w:cs="Times New Roman"/>
          <w:szCs w:val="24"/>
        </w:rPr>
        <w:t>,</w:t>
      </w:r>
      <w:r w:rsidRPr="00C4755C">
        <w:rPr>
          <w:rFonts w:cs="Times New Roman"/>
          <w:szCs w:val="24"/>
        </w:rPr>
        <w:t xml:space="preserve"> czy dochodzona jest jedynie jej część czy też całość.</w:t>
      </w:r>
    </w:p>
    <w:p w14:paraId="1B0A884E" w14:textId="22F3926C" w:rsidR="00EF1256" w:rsidRPr="00C4755C" w:rsidRDefault="00EF1256" w:rsidP="00C4755C">
      <w:pPr>
        <w:spacing w:before="120"/>
        <w:jc w:val="both"/>
        <w:rPr>
          <w:rFonts w:cs="Times New Roman"/>
          <w:szCs w:val="24"/>
        </w:rPr>
      </w:pPr>
      <w:r w:rsidRPr="00C4755C">
        <w:rPr>
          <w:rFonts w:cs="Times New Roman"/>
          <w:szCs w:val="24"/>
        </w:rPr>
        <w:t>Prawo procesowe zezwala powodowi na</w:t>
      </w:r>
      <w:r w:rsidR="00542087" w:rsidRPr="00C4755C">
        <w:rPr>
          <w:rFonts w:cs="Times New Roman"/>
          <w:szCs w:val="24"/>
        </w:rPr>
        <w:t xml:space="preserve"> </w:t>
      </w:r>
      <w:r w:rsidRPr="00C4755C">
        <w:rPr>
          <w:rFonts w:cs="Times New Roman"/>
          <w:szCs w:val="24"/>
        </w:rPr>
        <w:t xml:space="preserve">rozdrobnienie roszczenia materialnego, czyli na uczynienie przedmiotem roszczenia procesowego tylko jakiejś części świadczenia należnego mu od pozwanego na podstawie łączącego te osoby stosunku prawnego. Jeśli powód zdecyduje się na takie rozdrobnienie roszczenia i będzie dochodził od pozwanego </w:t>
      </w:r>
      <w:r w:rsidRPr="00C4755C">
        <w:rPr>
          <w:rFonts w:cs="Times New Roman"/>
          <w:szCs w:val="24"/>
        </w:rPr>
        <w:lastRenderedPageBreak/>
        <w:t xml:space="preserve">tylko jakiejś części świadczenia, które według </w:t>
      </w:r>
      <w:r w:rsidR="0067713E">
        <w:rPr>
          <w:rFonts w:cs="Times New Roman"/>
          <w:szCs w:val="24"/>
        </w:rPr>
        <w:t xml:space="preserve">niego </w:t>
      </w:r>
      <w:r w:rsidRPr="00C4755C">
        <w:rPr>
          <w:rFonts w:cs="Times New Roman"/>
          <w:szCs w:val="24"/>
        </w:rPr>
        <w:t>należy się mu na tle stosunku prawnego łączącego go z pozwanym, to tę część roszczenia materialnoprawnego uczyni on przedmiotem roszczenia procesowego, do którego zastosowanie będą miały przepisy obowiązujące w procesie.</w:t>
      </w:r>
    </w:p>
    <w:p w14:paraId="3106AFD0" w14:textId="1B293C7B" w:rsidR="00EF1256" w:rsidRPr="00C4755C" w:rsidRDefault="00EF1256" w:rsidP="00C4755C">
      <w:pPr>
        <w:spacing w:before="120"/>
        <w:jc w:val="both"/>
        <w:rPr>
          <w:rFonts w:cs="Times New Roman"/>
          <w:szCs w:val="24"/>
        </w:rPr>
      </w:pPr>
      <w:r w:rsidRPr="00C4755C">
        <w:rPr>
          <w:rFonts w:cs="Times New Roman"/>
          <w:szCs w:val="24"/>
        </w:rPr>
        <w:t>Przenosząc powyższe rozważania na kanwę zaproponowanego rozwiązania legislacyjnego, nawet</w:t>
      </w:r>
      <w:r w:rsidR="00542087" w:rsidRPr="00C4755C">
        <w:rPr>
          <w:rFonts w:cs="Times New Roman"/>
          <w:szCs w:val="24"/>
        </w:rPr>
        <w:t xml:space="preserve"> </w:t>
      </w:r>
      <w:r w:rsidRPr="00C4755C">
        <w:rPr>
          <w:rFonts w:cs="Times New Roman"/>
          <w:szCs w:val="24"/>
        </w:rPr>
        <w:t>w</w:t>
      </w:r>
      <w:r w:rsidR="00542087" w:rsidRPr="00C4755C">
        <w:rPr>
          <w:rFonts w:cs="Times New Roman"/>
          <w:szCs w:val="24"/>
        </w:rPr>
        <w:t xml:space="preserve"> </w:t>
      </w:r>
      <w:r w:rsidRPr="00C4755C">
        <w:rPr>
          <w:rFonts w:cs="Times New Roman"/>
          <w:szCs w:val="24"/>
        </w:rPr>
        <w:t>przypadku dochodzenia jedynie części należności z tytułu jednej transakcji handlowej, sąd rozpoznający wniosek o zabezpieczenie będzie musiał ustalić, czy jej cała zapłaty należnej z tytułu umowy wartość mieści się w granicy określonej kwotą 75 tysięcy złotych.</w:t>
      </w:r>
    </w:p>
    <w:p w14:paraId="0AB806B1" w14:textId="162F4784" w:rsidR="00475D91" w:rsidRPr="00C4755C" w:rsidRDefault="00475D91" w:rsidP="00C4755C">
      <w:pPr>
        <w:spacing w:before="120"/>
        <w:jc w:val="both"/>
        <w:rPr>
          <w:rFonts w:cs="Times New Roman"/>
          <w:szCs w:val="24"/>
        </w:rPr>
      </w:pPr>
      <w:r w:rsidRPr="00C4755C">
        <w:rPr>
          <w:rFonts w:cs="Times New Roman"/>
          <w:szCs w:val="24"/>
        </w:rPr>
        <w:t>W postępowaniu upominawczym nakazy zapł</w:t>
      </w:r>
      <w:r w:rsidR="007554EB" w:rsidRPr="00C4755C">
        <w:rPr>
          <w:rFonts w:cs="Times New Roman"/>
          <w:szCs w:val="24"/>
        </w:rPr>
        <w:t>a</w:t>
      </w:r>
      <w:r w:rsidRPr="00C4755C">
        <w:rPr>
          <w:rFonts w:cs="Times New Roman"/>
          <w:szCs w:val="24"/>
        </w:rPr>
        <w:t>ty mogą być wydawane przez referendarzy sądowych, którzy nie maj</w:t>
      </w:r>
      <w:r w:rsidR="00576BF0" w:rsidRPr="00C4755C">
        <w:rPr>
          <w:rFonts w:cs="Times New Roman"/>
          <w:szCs w:val="24"/>
        </w:rPr>
        <w:t>ą</w:t>
      </w:r>
      <w:r w:rsidRPr="00C4755C">
        <w:rPr>
          <w:rFonts w:cs="Times New Roman"/>
          <w:szCs w:val="24"/>
        </w:rPr>
        <w:t xml:space="preserve"> uprawnień do wydawania postanowień w przedmiocie zabezpieczenia. Taka sytuacja w powiązaniu z projektowanymi zmianami może spowodować przedłużenie rozpoznania stosu</w:t>
      </w:r>
      <w:r w:rsidR="00172A62" w:rsidRPr="00C4755C">
        <w:rPr>
          <w:rFonts w:cs="Times New Roman"/>
          <w:szCs w:val="24"/>
        </w:rPr>
        <w:t>nkowo prostych spraw o zapłatę.</w:t>
      </w:r>
    </w:p>
    <w:p w14:paraId="4CD0D78D" w14:textId="5C8E34E0" w:rsidR="004A1831" w:rsidRPr="00C4755C" w:rsidRDefault="00475D91" w:rsidP="00C4755C">
      <w:pPr>
        <w:spacing w:before="120"/>
        <w:jc w:val="both"/>
        <w:rPr>
          <w:rFonts w:cs="Times New Roman"/>
          <w:szCs w:val="24"/>
        </w:rPr>
      </w:pPr>
      <w:r w:rsidRPr="00C4755C">
        <w:rPr>
          <w:rFonts w:cs="Times New Roman"/>
          <w:szCs w:val="24"/>
        </w:rPr>
        <w:t>W związku z powyższym w projekcie zaproponowano doda</w:t>
      </w:r>
      <w:r w:rsidR="00172A62" w:rsidRPr="00C4755C">
        <w:rPr>
          <w:rFonts w:cs="Times New Roman"/>
          <w:szCs w:val="24"/>
        </w:rPr>
        <w:t>nie przepisu, zgodnie z którym w</w:t>
      </w:r>
      <w:r w:rsidR="00170DEB" w:rsidRPr="00C4755C">
        <w:rPr>
          <w:rFonts w:cs="Times New Roman"/>
          <w:szCs w:val="24"/>
        </w:rPr>
        <w:t xml:space="preserve"> </w:t>
      </w:r>
      <w:r w:rsidR="00AD1402" w:rsidRPr="00C4755C">
        <w:rPr>
          <w:rFonts w:cs="Times New Roman"/>
          <w:szCs w:val="24"/>
        </w:rPr>
        <w:t xml:space="preserve">sprawach o zabezpieczenie roszczeń pieniężnych nieprzekraczających siedemdziesięciu pięciu tysięcy złotych, </w:t>
      </w:r>
      <w:r w:rsidRPr="00C4755C">
        <w:rPr>
          <w:rFonts w:cs="Times New Roman"/>
          <w:szCs w:val="24"/>
        </w:rPr>
        <w:t>p</w:t>
      </w:r>
      <w:r w:rsidR="00D5699F" w:rsidRPr="00C4755C">
        <w:rPr>
          <w:rFonts w:cs="Times New Roman"/>
          <w:szCs w:val="24"/>
        </w:rPr>
        <w:t xml:space="preserve">ostanowienia w przedmiocie udzielenia zabezpieczenia będą mogli wydać także </w:t>
      </w:r>
      <w:r w:rsidR="00D5699F" w:rsidRPr="00C4755C">
        <w:rPr>
          <w:rFonts w:eastAsiaTheme="minorEastAsia" w:cs="Times New Roman"/>
          <w:szCs w:val="24"/>
        </w:rPr>
        <w:t>referendarze sądowi</w:t>
      </w:r>
      <w:r w:rsidR="00D5699F" w:rsidRPr="00C4755C">
        <w:rPr>
          <w:rFonts w:cs="Times New Roman"/>
          <w:szCs w:val="24"/>
        </w:rPr>
        <w:t>.</w:t>
      </w:r>
      <w:r w:rsidR="00D84FAE" w:rsidRPr="00C4755C">
        <w:rPr>
          <w:rFonts w:cs="Times New Roman"/>
          <w:szCs w:val="24"/>
        </w:rPr>
        <w:t xml:space="preserve"> Rozpoznanie skargi na postanowienia referendarza przez sąd w terminie tygodniowym od jej wpływu sprawi, że następstwa ewentualnego niewłaściwego rozstrzygnięcia będą mogły być szybko odwrócone.</w:t>
      </w:r>
    </w:p>
    <w:p w14:paraId="6CA1AFD9" w14:textId="246CDCF4" w:rsidR="004A1831" w:rsidRPr="00C4755C" w:rsidRDefault="00120BEB" w:rsidP="00C4755C">
      <w:pPr>
        <w:spacing w:before="120"/>
        <w:jc w:val="both"/>
        <w:rPr>
          <w:rFonts w:cs="Times New Roman"/>
          <w:szCs w:val="24"/>
        </w:rPr>
      </w:pPr>
      <w:r w:rsidRPr="00C4755C">
        <w:rPr>
          <w:rFonts w:cs="Times New Roman"/>
          <w:szCs w:val="24"/>
        </w:rPr>
        <w:t>W związku ze zmianą tytułu ustawy o terminach zapłaty w transakcjach handlowych, zasadne jest również dostosowanie w tym zakresie</w:t>
      </w:r>
      <w:r w:rsidR="00AF57AA" w:rsidRPr="00C4755C">
        <w:rPr>
          <w:rFonts w:cs="Times New Roman"/>
          <w:szCs w:val="24"/>
        </w:rPr>
        <w:t xml:space="preserve"> art. 485 KPC</w:t>
      </w:r>
      <w:r w:rsidR="001171A5" w:rsidRPr="00C4755C">
        <w:rPr>
          <w:rFonts w:cs="Times New Roman"/>
          <w:szCs w:val="24"/>
        </w:rPr>
        <w:t xml:space="preserve"> odwołującego się to tego</w:t>
      </w:r>
      <w:r w:rsidRPr="00C4755C">
        <w:rPr>
          <w:rFonts w:cs="Times New Roman"/>
          <w:szCs w:val="24"/>
        </w:rPr>
        <w:t xml:space="preserve"> </w:t>
      </w:r>
      <w:r w:rsidR="001171A5" w:rsidRPr="00C4755C">
        <w:rPr>
          <w:rFonts w:cs="Times New Roman"/>
          <w:szCs w:val="24"/>
        </w:rPr>
        <w:t>aktu</w:t>
      </w:r>
      <w:r w:rsidRPr="00C4755C">
        <w:rPr>
          <w:rFonts w:cs="Times New Roman"/>
          <w:szCs w:val="24"/>
        </w:rPr>
        <w:t>.</w:t>
      </w:r>
    </w:p>
    <w:p w14:paraId="008327B3" w14:textId="621C2276" w:rsidR="00390C72" w:rsidRPr="00C4755C" w:rsidRDefault="00C56B90" w:rsidP="008A4755">
      <w:pPr>
        <w:spacing w:before="240"/>
        <w:jc w:val="both"/>
        <w:rPr>
          <w:rFonts w:cs="Times New Roman"/>
          <w:b/>
          <w:szCs w:val="24"/>
        </w:rPr>
      </w:pPr>
      <w:r w:rsidRPr="00C4755C">
        <w:rPr>
          <w:rFonts w:cs="Times New Roman"/>
          <w:b/>
          <w:szCs w:val="24"/>
        </w:rPr>
        <w:t>2</w:t>
      </w:r>
      <w:r w:rsidR="004A1831" w:rsidRPr="00C4755C">
        <w:rPr>
          <w:rFonts w:cs="Times New Roman"/>
          <w:b/>
          <w:szCs w:val="24"/>
        </w:rPr>
        <w:t xml:space="preserve">. </w:t>
      </w:r>
      <w:r w:rsidR="00237194" w:rsidRPr="00C4755C">
        <w:rPr>
          <w:rFonts w:cs="Times New Roman"/>
          <w:b/>
          <w:szCs w:val="24"/>
        </w:rPr>
        <w:t>Zmiany</w:t>
      </w:r>
      <w:r w:rsidR="00390C72" w:rsidRPr="00C4755C">
        <w:rPr>
          <w:rFonts w:cs="Times New Roman"/>
          <w:b/>
          <w:szCs w:val="24"/>
        </w:rPr>
        <w:t xml:space="preserve"> w ustawie o podatku docho</w:t>
      </w:r>
      <w:r w:rsidRPr="00C4755C">
        <w:rPr>
          <w:rFonts w:cs="Times New Roman"/>
          <w:b/>
          <w:szCs w:val="24"/>
        </w:rPr>
        <w:t>dowym od osób fizycznych</w:t>
      </w:r>
      <w:r w:rsidR="00822591" w:rsidRPr="00C4755C">
        <w:rPr>
          <w:rStyle w:val="Odwoanieprzypisudolnego"/>
          <w:b/>
          <w:szCs w:val="24"/>
        </w:rPr>
        <w:footnoteReference w:id="11"/>
      </w:r>
      <w:r w:rsidR="00F05B61" w:rsidRPr="00C4755C">
        <w:rPr>
          <w:rFonts w:cs="Times New Roman"/>
          <w:szCs w:val="24"/>
          <w:vertAlign w:val="superscript"/>
        </w:rPr>
        <w:t>)</w:t>
      </w:r>
      <w:r w:rsidRPr="00C4755C">
        <w:rPr>
          <w:rFonts w:cs="Times New Roman"/>
          <w:b/>
          <w:szCs w:val="24"/>
        </w:rPr>
        <w:t xml:space="preserve"> (art. 2</w:t>
      </w:r>
      <w:r w:rsidR="00390C72" w:rsidRPr="00C4755C">
        <w:rPr>
          <w:rFonts w:cs="Times New Roman"/>
          <w:b/>
          <w:szCs w:val="24"/>
        </w:rPr>
        <w:t>)</w:t>
      </w:r>
    </w:p>
    <w:p w14:paraId="05FE2117" w14:textId="421B171F" w:rsidR="00397A4F" w:rsidRPr="00C4755C" w:rsidRDefault="00397A4F"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W zakresie podatków dochodowych, zarówno od osób fizycznych, jak i od osób prawnych, ustawa przewiduje wprowadzenie </w:t>
      </w:r>
      <w:r w:rsidR="0032640C" w:rsidRPr="00C4755C">
        <w:rPr>
          <w:rFonts w:eastAsia="Calibri" w:cs="Times New Roman"/>
          <w:szCs w:val="24"/>
          <w:lang w:eastAsia="en-US"/>
        </w:rPr>
        <w:t>przepisów szczególnych mających na celu rozpoznawanie skutków w podatku dochodowym tzw. „złych długów”</w:t>
      </w:r>
      <w:r w:rsidRPr="00C4755C">
        <w:rPr>
          <w:rFonts w:eastAsia="Calibri" w:cs="Times New Roman"/>
          <w:szCs w:val="24"/>
          <w:lang w:eastAsia="en-US"/>
        </w:rPr>
        <w:t>.</w:t>
      </w:r>
    </w:p>
    <w:p w14:paraId="047F81DA" w14:textId="014811E7"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lastRenderedPageBreak/>
        <w:t>W podatku dochodowym od osób fizycznych zasadą jest, że przychodem są kwoty należne choćby faktycznie nie zostały otrzymane. Oznacza to, że przychód podatkowy powstaje niezależnie od faktu uregulowania należności wynikającej z tego przychodu. Analogicznie uregulowane są koszty podatkowe. Dłużnicy, zalegający z zapłatą zobowiązań wynikających z operacji gospodarczych, uprawnieni są do obniżania przychodu do opodatkowania o</w:t>
      </w:r>
      <w:r w:rsidR="001A50B7" w:rsidRPr="00C4755C">
        <w:rPr>
          <w:rFonts w:eastAsia="Calibri" w:cs="Times New Roman"/>
          <w:szCs w:val="24"/>
          <w:lang w:eastAsia="en-US"/>
        </w:rPr>
        <w:t xml:space="preserve"> </w:t>
      </w:r>
      <w:r w:rsidRPr="00C4755C">
        <w:rPr>
          <w:rFonts w:eastAsia="Calibri" w:cs="Times New Roman"/>
          <w:szCs w:val="24"/>
          <w:lang w:eastAsia="en-US"/>
        </w:rPr>
        <w:t>niezapłacone wierzycielowi kwoty z tytułu dok</w:t>
      </w:r>
      <w:r w:rsidR="001A50B7" w:rsidRPr="00C4755C">
        <w:rPr>
          <w:rFonts w:eastAsia="Calibri" w:cs="Times New Roman"/>
          <w:szCs w:val="24"/>
          <w:lang w:eastAsia="en-US"/>
        </w:rPr>
        <w:t>onanych operacji gospodarczych.</w:t>
      </w:r>
    </w:p>
    <w:p w14:paraId="201D0517" w14:textId="0632B7A8"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Kwestia tzw. „nieściągalnych wierzytelności” jest uregulowana w ustawie o podatku od</w:t>
      </w:r>
      <w:r w:rsidR="00584C51" w:rsidRPr="00C4755C">
        <w:rPr>
          <w:rFonts w:eastAsia="Calibri" w:cs="Times New Roman"/>
          <w:szCs w:val="24"/>
          <w:lang w:eastAsia="en-US"/>
        </w:rPr>
        <w:t xml:space="preserve"> </w:t>
      </w:r>
      <w:r w:rsidRPr="00C4755C">
        <w:rPr>
          <w:rFonts w:eastAsia="Calibri" w:cs="Times New Roman"/>
          <w:szCs w:val="24"/>
          <w:lang w:eastAsia="en-US"/>
        </w:rPr>
        <w:t>towarów i usług. Rozwiązania te dotyczą wierzycieli i dłużników. W projekcie proponuje się zbliżenie tych dwóch systemów rozliczeń poprzez adaptację w podatku dochodowym rozwiązania przyjętego w podatku od towarów i usług, z uwzględnieniem różnic wynikających z odrębności cech tych dwóch podatków.</w:t>
      </w:r>
    </w:p>
    <w:p w14:paraId="64C67300" w14:textId="790C5251" w:rsidR="00372F2B"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Projekt przewiduje wprowadzenie możliwości pomniejszenia przez wierzyciela podstawy opodatkowania o </w:t>
      </w:r>
      <w:r w:rsidR="0053680A" w:rsidRPr="00C4755C">
        <w:rPr>
          <w:rFonts w:eastAsia="Calibri" w:cs="Times New Roman"/>
          <w:szCs w:val="24"/>
          <w:lang w:eastAsia="en-US"/>
        </w:rPr>
        <w:t>zaliczaną do przychodów należnych wartość wierzytelności</w:t>
      </w:r>
      <w:r w:rsidR="00725278" w:rsidRPr="00C4755C">
        <w:rPr>
          <w:rFonts w:eastAsia="Calibri" w:cs="Times New Roman"/>
          <w:szCs w:val="24"/>
          <w:lang w:eastAsia="en-US"/>
        </w:rPr>
        <w:t xml:space="preserve"> o zapłatę świadczenia pieniężnego </w:t>
      </w:r>
      <w:r w:rsidR="00B516A5" w:rsidRPr="00C4755C">
        <w:rPr>
          <w:rFonts w:eastAsia="Calibri" w:cs="Times New Roman"/>
          <w:szCs w:val="24"/>
          <w:lang w:eastAsia="en-US"/>
        </w:rPr>
        <w:t>w rozumieniu ustawy z dnia 8 marca 2013 r. o przeciwdziałaniu nadmiernym opóźnieniom w transakcjach handlowych</w:t>
      </w:r>
      <w:r w:rsidRPr="00C4755C">
        <w:rPr>
          <w:rFonts w:eastAsia="Calibri" w:cs="Times New Roman"/>
          <w:szCs w:val="24"/>
          <w:lang w:eastAsia="en-US"/>
        </w:rPr>
        <w:t>, jeżeli wierzytelność ta nie zostanie uregulowana lub</w:t>
      </w:r>
      <w:r w:rsidR="00584C51" w:rsidRPr="00C4755C">
        <w:rPr>
          <w:rFonts w:eastAsia="Calibri" w:cs="Times New Roman"/>
          <w:szCs w:val="24"/>
          <w:lang w:eastAsia="en-US"/>
        </w:rPr>
        <w:t xml:space="preserve"> </w:t>
      </w:r>
      <w:r w:rsidRPr="00C4755C">
        <w:rPr>
          <w:rFonts w:eastAsia="Calibri" w:cs="Times New Roman"/>
          <w:szCs w:val="24"/>
          <w:lang w:eastAsia="en-US"/>
        </w:rPr>
        <w:t xml:space="preserve">zbyta w ciągu </w:t>
      </w:r>
      <w:r w:rsidR="00B12553" w:rsidRPr="00C4755C">
        <w:rPr>
          <w:rFonts w:eastAsia="Calibri" w:cs="Times New Roman"/>
          <w:szCs w:val="24"/>
          <w:lang w:eastAsia="en-US"/>
        </w:rPr>
        <w:t xml:space="preserve">90 </w:t>
      </w:r>
      <w:r w:rsidRPr="00C4755C">
        <w:rPr>
          <w:rFonts w:eastAsia="Calibri" w:cs="Times New Roman"/>
          <w:szCs w:val="24"/>
          <w:lang w:eastAsia="en-US"/>
        </w:rPr>
        <w:t>dni od dnia upływu term</w:t>
      </w:r>
      <w:r w:rsidR="00C21F2C" w:rsidRPr="00C4755C">
        <w:rPr>
          <w:rFonts w:eastAsia="Calibri" w:cs="Times New Roman"/>
          <w:szCs w:val="24"/>
          <w:lang w:eastAsia="en-US"/>
        </w:rPr>
        <w:t>inu jej płatności określonego w</w:t>
      </w:r>
      <w:r w:rsidR="00C4755C">
        <w:rPr>
          <w:rFonts w:eastAsia="Calibri" w:cs="Times New Roman"/>
          <w:szCs w:val="24"/>
          <w:lang w:eastAsia="en-US"/>
        </w:rPr>
        <w:t xml:space="preserve"> </w:t>
      </w:r>
      <w:r w:rsidR="00170DEB" w:rsidRPr="00C4755C">
        <w:rPr>
          <w:rFonts w:eastAsia="Calibri" w:cs="Times New Roman"/>
          <w:szCs w:val="24"/>
          <w:lang w:eastAsia="en-US"/>
        </w:rPr>
        <w:t xml:space="preserve">umowie lub </w:t>
      </w:r>
      <w:r w:rsidR="00E75479" w:rsidRPr="00C4755C">
        <w:rPr>
          <w:rFonts w:eastAsia="Calibri" w:cs="Times New Roman"/>
          <w:szCs w:val="24"/>
          <w:lang w:eastAsia="en-US"/>
        </w:rPr>
        <w:t xml:space="preserve">na </w:t>
      </w:r>
      <w:r w:rsidR="00170DEB" w:rsidRPr="00C4755C">
        <w:rPr>
          <w:rFonts w:eastAsia="Calibri" w:cs="Times New Roman"/>
          <w:szCs w:val="24"/>
          <w:lang w:eastAsia="en-US"/>
        </w:rPr>
        <w:t>fakturze (rachunku).</w:t>
      </w:r>
    </w:p>
    <w:p w14:paraId="1E37CB3F" w14:textId="6C62FE0D" w:rsidR="00BB4BD9" w:rsidRPr="00C4755C" w:rsidRDefault="00372F2B"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Zgodnie z proponowanym w projekcie nowym art. 7 ust. 2a ustawy o przeciwdziałaniu nadmiernym opóźnieniom w transakcjach handlowych, </w:t>
      </w:r>
      <w:r w:rsidR="00BB4BD9" w:rsidRPr="00C4755C">
        <w:rPr>
          <w:rFonts w:eastAsia="Calibri" w:cs="Times New Roman"/>
          <w:szCs w:val="24"/>
          <w:lang w:eastAsia="en-US"/>
        </w:rPr>
        <w:t xml:space="preserve">w transakcjach </w:t>
      </w:r>
      <w:r w:rsidR="001571F2" w:rsidRPr="00C4755C">
        <w:rPr>
          <w:rFonts w:eastAsia="Calibri" w:cs="Times New Roman"/>
          <w:szCs w:val="24"/>
          <w:lang w:eastAsia="en-US"/>
        </w:rPr>
        <w:t>asymetrycznych</w:t>
      </w:r>
      <w:r w:rsidR="00BB4BD9" w:rsidRPr="00C4755C">
        <w:rPr>
          <w:rFonts w:eastAsia="Calibri" w:cs="Times New Roman"/>
          <w:szCs w:val="24"/>
          <w:lang w:eastAsia="en-US"/>
        </w:rPr>
        <w:t>, tj. jeżeli dłużnikiem zobowiązanym do zapłaty za towary lub usł</w:t>
      </w:r>
      <w:r w:rsidR="00F3246B" w:rsidRPr="00C4755C">
        <w:rPr>
          <w:rFonts w:eastAsia="Calibri" w:cs="Times New Roman"/>
          <w:szCs w:val="24"/>
          <w:lang w:eastAsia="en-US"/>
        </w:rPr>
        <w:t>ugi jest duży przedsiębiorca, a</w:t>
      </w:r>
      <w:r w:rsidR="00C4755C">
        <w:rPr>
          <w:rFonts w:eastAsia="Calibri" w:cs="Times New Roman"/>
          <w:szCs w:val="24"/>
          <w:lang w:eastAsia="en-US"/>
        </w:rPr>
        <w:t xml:space="preserve"> </w:t>
      </w:r>
      <w:r w:rsidR="00BB4BD9" w:rsidRPr="00C4755C">
        <w:rPr>
          <w:rFonts w:eastAsia="Calibri" w:cs="Times New Roman"/>
          <w:szCs w:val="24"/>
          <w:lang w:eastAsia="en-US"/>
        </w:rPr>
        <w:t xml:space="preserve">wierzycielem jest mikro, mały albo średni przedsiębiorca </w:t>
      </w:r>
      <w:r w:rsidRPr="00C4755C">
        <w:rPr>
          <w:rFonts w:eastAsia="Calibri" w:cs="Times New Roman"/>
          <w:szCs w:val="24"/>
          <w:lang w:eastAsia="en-US"/>
        </w:rPr>
        <w:t>termin zapłaty określony w</w:t>
      </w:r>
      <w:r w:rsidR="00C4755C">
        <w:rPr>
          <w:rFonts w:eastAsia="Calibri" w:cs="Times New Roman"/>
          <w:szCs w:val="24"/>
          <w:lang w:eastAsia="en-US"/>
        </w:rPr>
        <w:t xml:space="preserve"> </w:t>
      </w:r>
      <w:r w:rsidRPr="00C4755C">
        <w:rPr>
          <w:rFonts w:eastAsia="Calibri" w:cs="Times New Roman"/>
          <w:szCs w:val="24"/>
          <w:lang w:eastAsia="en-US"/>
        </w:rPr>
        <w:t>umowie nie będzie mógł przekraczać 60 dni, liczonych od dnia doręczenia dłużnikowi faktury lub rachunku, potwierdzających dost</w:t>
      </w:r>
      <w:r w:rsidR="00BB4BD9" w:rsidRPr="00C4755C">
        <w:rPr>
          <w:rFonts w:eastAsia="Calibri" w:cs="Times New Roman"/>
          <w:szCs w:val="24"/>
          <w:lang w:eastAsia="en-US"/>
        </w:rPr>
        <w:t xml:space="preserve">awę towaru lub wykonanie usługi (lub od </w:t>
      </w:r>
      <w:r w:rsidR="00BB4BD9" w:rsidRPr="00C4755C">
        <w:rPr>
          <w:rFonts w:cs="Times New Roman"/>
          <w:szCs w:val="24"/>
        </w:rPr>
        <w:t>otrzymania przez dłużnika towaru lub usługi zgodni</w:t>
      </w:r>
      <w:r w:rsidR="00CA6E79" w:rsidRPr="00C4755C">
        <w:rPr>
          <w:rFonts w:cs="Times New Roman"/>
          <w:szCs w:val="24"/>
        </w:rPr>
        <w:t>e z projektowanym art. 7 ust. 4</w:t>
      </w:r>
      <w:r w:rsidR="00C4755C">
        <w:rPr>
          <w:rFonts w:cs="Times New Roman"/>
          <w:szCs w:val="24"/>
        </w:rPr>
        <w:t xml:space="preserve"> </w:t>
      </w:r>
      <w:r w:rsidR="00BB4BD9" w:rsidRPr="00C4755C">
        <w:rPr>
          <w:rFonts w:cs="Times New Roman"/>
          <w:szCs w:val="24"/>
        </w:rPr>
        <w:t>ustawy)</w:t>
      </w:r>
      <w:r w:rsidRPr="00C4755C">
        <w:rPr>
          <w:rFonts w:eastAsia="Calibri" w:cs="Times New Roman"/>
          <w:szCs w:val="24"/>
          <w:lang w:eastAsia="en-US"/>
        </w:rPr>
        <w:t>.</w:t>
      </w:r>
    </w:p>
    <w:p w14:paraId="0C16D5FA" w14:textId="3572CF90" w:rsidR="00372F2B" w:rsidRPr="00C4755C" w:rsidRDefault="00BB4BD9" w:rsidP="00C4755C">
      <w:pPr>
        <w:widowControl/>
        <w:autoSpaceDE/>
        <w:autoSpaceDN/>
        <w:adjustRightInd/>
        <w:spacing w:before="120"/>
        <w:jc w:val="both"/>
        <w:rPr>
          <w:rFonts w:cs="Times New Roman"/>
          <w:szCs w:val="24"/>
        </w:rPr>
      </w:pPr>
      <w:r w:rsidRPr="00C4755C">
        <w:rPr>
          <w:rFonts w:eastAsia="Calibri" w:cs="Times New Roman"/>
          <w:szCs w:val="24"/>
          <w:lang w:eastAsia="en-US"/>
        </w:rPr>
        <w:t xml:space="preserve">W przypadku ustalenia terminu niezgodnego z tym przepisem, zastosowanie będzie miał art. 13 ust. 2 ustawy o przeciwdziałaniu nadmiernym opóźnieniom w transakcjach handlowych w nowym brzmieniu, zgodnie z którym </w:t>
      </w:r>
      <w:r w:rsidRPr="00C4755C">
        <w:rPr>
          <w:rFonts w:cs="Times New Roman"/>
          <w:szCs w:val="24"/>
        </w:rPr>
        <w:t>z mocy prawa stosowany będzie termin zapłaty 60 dni.</w:t>
      </w:r>
    </w:p>
    <w:p w14:paraId="04571D56" w14:textId="4E54265D" w:rsidR="00526ECB" w:rsidRPr="00C4755C" w:rsidRDefault="00526ECB" w:rsidP="00C4755C">
      <w:pPr>
        <w:widowControl/>
        <w:autoSpaceDE/>
        <w:autoSpaceDN/>
        <w:adjustRightInd/>
        <w:spacing w:before="120"/>
        <w:jc w:val="both"/>
        <w:rPr>
          <w:rFonts w:cs="Times New Roman"/>
          <w:szCs w:val="24"/>
        </w:rPr>
      </w:pPr>
      <w:r w:rsidRPr="00C4755C">
        <w:rPr>
          <w:rFonts w:cs="Times New Roman"/>
          <w:szCs w:val="24"/>
        </w:rPr>
        <w:t>Również w symetrycznych transakcjach handlowych (np. pomiędzy dwoma dużymi przedsiębiorcami</w:t>
      </w:r>
      <w:r w:rsidR="00725278" w:rsidRPr="00C4755C">
        <w:rPr>
          <w:rFonts w:cs="Times New Roman"/>
          <w:szCs w:val="24"/>
        </w:rPr>
        <w:t>)</w:t>
      </w:r>
      <w:r w:rsidRPr="00C4755C">
        <w:rPr>
          <w:rFonts w:cs="Times New Roman"/>
          <w:szCs w:val="24"/>
        </w:rPr>
        <w:t xml:space="preserve">, w których możliwe będzie wydłużenie terminu zapłaty powyżej 60 </w:t>
      </w:r>
      <w:r w:rsidRPr="00C4755C">
        <w:rPr>
          <w:rFonts w:cs="Times New Roman"/>
          <w:szCs w:val="24"/>
        </w:rPr>
        <w:lastRenderedPageBreak/>
        <w:t>dni po spełnieniu określonych warunków, w sytuacji gdy nie zostaną one spełnione, zamiast postanowień umownych ustalających dłuższy niż 60 dni termin zapłaty będzie obowiązywał 60-dniowy termin zapłaty.</w:t>
      </w:r>
    </w:p>
    <w:p w14:paraId="1459012D" w14:textId="546E50AD"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przypadku, gdy po dokonaniu korekty podstawy opodatkowania należność zostałaby uregulowana (zbyta), zgodnie z projektem, wierzyciel będzie musiał zwiększyć podstawę opodatkowania oraz zapłacić podatek w</w:t>
      </w:r>
      <w:r w:rsidR="00170DEB" w:rsidRPr="00C4755C">
        <w:rPr>
          <w:rFonts w:eastAsia="Calibri" w:cs="Times New Roman"/>
          <w:szCs w:val="24"/>
          <w:lang w:eastAsia="en-US"/>
        </w:rPr>
        <w:t xml:space="preserve"> </w:t>
      </w:r>
      <w:r w:rsidRPr="00C4755C">
        <w:rPr>
          <w:rFonts w:eastAsia="Calibri" w:cs="Times New Roman"/>
          <w:szCs w:val="24"/>
          <w:lang w:eastAsia="en-US"/>
        </w:rPr>
        <w:t>rozliczeniu za okres, w którym należno</w:t>
      </w:r>
      <w:r w:rsidR="00EF6E97" w:rsidRPr="00C4755C">
        <w:rPr>
          <w:rFonts w:eastAsia="Calibri" w:cs="Times New Roman"/>
          <w:szCs w:val="24"/>
          <w:lang w:eastAsia="en-US"/>
        </w:rPr>
        <w:t>ść została uregulowana (zbyta).</w:t>
      </w:r>
    </w:p>
    <w:p w14:paraId="358EC934" w14:textId="7C660E3E"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Na dłużnika z kolei, w celu pobudzenia impulsu nakierowanego na regulowanie jego</w:t>
      </w:r>
      <w:r w:rsidR="00584C51" w:rsidRPr="00C4755C">
        <w:rPr>
          <w:rFonts w:eastAsia="Calibri" w:cs="Times New Roman"/>
          <w:szCs w:val="24"/>
          <w:lang w:eastAsia="en-US"/>
        </w:rPr>
        <w:t xml:space="preserve"> </w:t>
      </w:r>
      <w:r w:rsidRPr="00C4755C">
        <w:rPr>
          <w:rFonts w:eastAsia="Calibri" w:cs="Times New Roman"/>
          <w:szCs w:val="24"/>
          <w:lang w:eastAsia="en-US"/>
        </w:rPr>
        <w:t>zobowiązań gospodarczych, projekt przewiduje nałożenie obowiązku doliczenia do</w:t>
      </w:r>
      <w:r w:rsidR="00584C51" w:rsidRPr="00C4755C">
        <w:rPr>
          <w:rFonts w:eastAsia="Calibri" w:cs="Times New Roman"/>
          <w:szCs w:val="24"/>
          <w:lang w:eastAsia="en-US"/>
        </w:rPr>
        <w:t xml:space="preserve"> </w:t>
      </w:r>
      <w:r w:rsidRPr="00C4755C">
        <w:rPr>
          <w:rFonts w:eastAsia="Calibri" w:cs="Times New Roman"/>
          <w:szCs w:val="24"/>
          <w:lang w:eastAsia="en-US"/>
        </w:rPr>
        <w:t xml:space="preserve">podstawy opodatkowania </w:t>
      </w:r>
      <w:r w:rsidR="0053680A" w:rsidRPr="00C4755C">
        <w:rPr>
          <w:rFonts w:eastAsia="Calibri" w:cs="Times New Roman"/>
          <w:szCs w:val="24"/>
          <w:lang w:eastAsia="en-US"/>
        </w:rPr>
        <w:t>zaliczanej do kosztów uzyskania przychodu wartości zobowiązania</w:t>
      </w:r>
      <w:r w:rsidRPr="00C4755C">
        <w:rPr>
          <w:rFonts w:eastAsia="Calibri" w:cs="Times New Roman"/>
          <w:szCs w:val="24"/>
          <w:lang w:eastAsia="en-US"/>
        </w:rPr>
        <w:t>. W przypadku uregulowania zobowiązania dłużnik będzie miał prawo do korekty zwrotnej w rozliczeniu za</w:t>
      </w:r>
      <w:r w:rsidR="00584C51" w:rsidRPr="00C4755C">
        <w:rPr>
          <w:rFonts w:eastAsia="Calibri" w:cs="Times New Roman"/>
          <w:szCs w:val="24"/>
          <w:lang w:eastAsia="en-US"/>
        </w:rPr>
        <w:t xml:space="preserve"> </w:t>
      </w:r>
      <w:r w:rsidRPr="00C4755C">
        <w:rPr>
          <w:rFonts w:eastAsia="Calibri" w:cs="Times New Roman"/>
          <w:szCs w:val="24"/>
          <w:lang w:eastAsia="en-US"/>
        </w:rPr>
        <w:t>okres, w</w:t>
      </w:r>
      <w:r w:rsidR="00584C51" w:rsidRPr="00C4755C">
        <w:rPr>
          <w:rFonts w:eastAsia="Calibri" w:cs="Times New Roman"/>
          <w:szCs w:val="24"/>
          <w:lang w:eastAsia="en-US"/>
        </w:rPr>
        <w:t xml:space="preserve"> </w:t>
      </w:r>
      <w:r w:rsidRPr="00C4755C">
        <w:rPr>
          <w:rFonts w:eastAsia="Calibri" w:cs="Times New Roman"/>
          <w:szCs w:val="24"/>
          <w:lang w:eastAsia="en-US"/>
        </w:rPr>
        <w:t>którym zobowiązanie to zostanie uregulowan</w:t>
      </w:r>
      <w:r w:rsidR="00EF6E97" w:rsidRPr="00C4755C">
        <w:rPr>
          <w:rFonts w:eastAsia="Calibri" w:cs="Times New Roman"/>
          <w:szCs w:val="24"/>
          <w:lang w:eastAsia="en-US"/>
        </w:rPr>
        <w:t>e.</w:t>
      </w:r>
    </w:p>
    <w:p w14:paraId="41C9B006" w14:textId="2A0B76B2"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Korekty dokonywane będą wyłącznie w odniesieniu do wierzytelności oraz zobowiązań powstałych w związku z transakcjami</w:t>
      </w:r>
      <w:r w:rsidR="001C5F1C" w:rsidRPr="00C4755C">
        <w:rPr>
          <w:rFonts w:eastAsia="Calibri" w:cs="Times New Roman"/>
          <w:szCs w:val="24"/>
          <w:lang w:eastAsia="en-US"/>
        </w:rPr>
        <w:t xml:space="preserve"> handlowymi, jeżeli z tytułu tych transakcji przynajmniej u jednej ze stron określa się przychody lub koszty uzyskania przychodów, bez względu na termin ich ujęcia w tych przychodach lub kosztach uzyskania przychodów</w:t>
      </w:r>
      <w:r w:rsidRPr="00C4755C">
        <w:rPr>
          <w:rFonts w:eastAsia="Calibri" w:cs="Times New Roman"/>
          <w:szCs w:val="24"/>
          <w:lang w:eastAsia="en-US"/>
        </w:rPr>
        <w:t>. Przykładowo, jeśli podatnik nabędzie środek trwały, od którego dokonuje odpisów amortyzacyjnych rozliczanych przez 3 lata, to</w:t>
      </w:r>
      <w:r w:rsidR="00584C51" w:rsidRPr="00C4755C">
        <w:rPr>
          <w:rFonts w:eastAsia="Calibri" w:cs="Times New Roman"/>
          <w:szCs w:val="24"/>
          <w:lang w:eastAsia="en-US"/>
        </w:rPr>
        <w:t xml:space="preserve"> </w:t>
      </w:r>
      <w:r w:rsidRPr="00C4755C">
        <w:rPr>
          <w:rFonts w:eastAsia="Calibri" w:cs="Times New Roman"/>
          <w:szCs w:val="24"/>
          <w:lang w:eastAsia="en-US"/>
        </w:rPr>
        <w:t>korekta podstawy opodatkowania uzależniona zostanie wyłącznie od terminu zapłaty kontr</w:t>
      </w:r>
      <w:r w:rsidR="00C21F2C" w:rsidRPr="00C4755C">
        <w:rPr>
          <w:rFonts w:eastAsia="Calibri" w:cs="Times New Roman"/>
          <w:szCs w:val="24"/>
          <w:lang w:eastAsia="en-US"/>
        </w:rPr>
        <w:t>ahentowi za ten środek trwały a</w:t>
      </w:r>
      <w:r w:rsidR="00C4755C">
        <w:rPr>
          <w:rFonts w:eastAsia="Calibri" w:cs="Times New Roman"/>
          <w:szCs w:val="24"/>
          <w:lang w:eastAsia="en-US"/>
        </w:rPr>
        <w:t xml:space="preserve"> </w:t>
      </w:r>
      <w:r w:rsidRPr="00C4755C">
        <w:rPr>
          <w:rFonts w:eastAsia="Calibri" w:cs="Times New Roman"/>
          <w:szCs w:val="24"/>
          <w:lang w:eastAsia="en-US"/>
        </w:rPr>
        <w:t>nie od okresu amortyzacji.</w:t>
      </w:r>
    </w:p>
    <w:p w14:paraId="381DB81B" w14:textId="77777777"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Na wzór rozwiązań obowiązujących na gruncie podatku VAT, proponuje się wprowadzenie dodatkowych warunków uprawniających do projektowanego rozliczenia, tj. transakcja handlowa zawarta jest w ramach działalności wierzyciela oraz działalności dłużnika, z których dochody (zarówno w przypadku działalność wierzyciela, jak i działalność dłużnika) podlegają opodatkowaniu podatkiem dochodowym na terytorium Rzeczypospolitej Polskiej, brak postępowania restukturyzacyjnego lub likwidacyjnego wobec dłużnika na ostatni dzień miesiąca poprzedzającego dzień złożenia zeznania podatkowego, określony czas wystawienia faktury lub zawarcia umowy dokumentującej wierzytelność.</w:t>
      </w:r>
    </w:p>
    <w:p w14:paraId="3E270DA1" w14:textId="77777777"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lastRenderedPageBreak/>
        <w:t>Proponowana korekta wpływać będzie również na wysokość podstawy opodatkowania uwzględnianej przy wyliczaniu wysokości należnych zaliczek na podatek dochodowy, ale wyłącznie w przypadku uzyskiwania przez podatnika dochodu.</w:t>
      </w:r>
    </w:p>
    <w:p w14:paraId="5133F853" w14:textId="005E0EEA"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projektowanej regulacji wyłącza się możliwość stosowania przedmiotowych przepisów</w:t>
      </w:r>
      <w:r w:rsidR="00C4755C">
        <w:rPr>
          <w:rFonts w:eastAsia="Calibri" w:cs="Times New Roman"/>
          <w:szCs w:val="24"/>
          <w:lang w:eastAsia="en-US"/>
        </w:rPr>
        <w:t xml:space="preserve"> </w:t>
      </w:r>
      <w:r w:rsidRPr="00C4755C">
        <w:rPr>
          <w:rFonts w:eastAsia="Calibri" w:cs="Times New Roman"/>
          <w:szCs w:val="24"/>
          <w:lang w:eastAsia="en-US"/>
        </w:rPr>
        <w:t xml:space="preserve">między podmiotami powiązanymi w rozumieniu przepisów ustawy o podatku dochodowym od osób fizycznych. Przepisy te mają zniechęcać przedsiębiorców do zalegania z zapłatą, a w relacjach między podmiotami powiązanymi tego typu problemy – co wynika z definicji „podmiotu powiązanego” </w:t>
      </w:r>
      <w:r w:rsidR="009D7C20" w:rsidRPr="009D7C20">
        <w:rPr>
          <w:rFonts w:eastAsia="Calibri" w:cs="Times New Roman"/>
          <w:szCs w:val="24"/>
          <w:lang w:eastAsia="en-US"/>
        </w:rPr>
        <w:t>–</w:t>
      </w:r>
      <w:r w:rsidR="005067BD">
        <w:rPr>
          <w:rFonts w:eastAsia="Calibri" w:cs="Times New Roman"/>
          <w:szCs w:val="24"/>
          <w:lang w:eastAsia="en-US"/>
        </w:rPr>
        <w:t xml:space="preserve"> </w:t>
      </w:r>
      <w:r w:rsidRPr="00C4755C">
        <w:rPr>
          <w:rFonts w:eastAsia="Calibri" w:cs="Times New Roman"/>
          <w:szCs w:val="24"/>
          <w:lang w:eastAsia="en-US"/>
        </w:rPr>
        <w:t>nie występują.</w:t>
      </w:r>
    </w:p>
    <w:p w14:paraId="58199E83" w14:textId="77777777" w:rsidR="00FB1784" w:rsidRPr="00C4755C" w:rsidRDefault="00FB178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zakresie wierzytelności nieobjętych projektowanym systemem rozliczeń zasadnym jest pozostawienie istniejących obecnie rozwiązań.</w:t>
      </w:r>
    </w:p>
    <w:p w14:paraId="14EC7CAE" w14:textId="2E759EA9" w:rsidR="00AE5D97" w:rsidRPr="00C4755C" w:rsidRDefault="00AE5D97"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Ponadto wprowadza się obowiązek wykazywania wierzytelności lub zobowiązań, które powodują zwiększenia lub zmniejszenia podstawy opodatkowania w zeznaniach podatkowych. Jest to rozwiązanie analogiczne do tego</w:t>
      </w:r>
      <w:r w:rsidR="00B45A58">
        <w:rPr>
          <w:rFonts w:eastAsia="Calibri" w:cs="Times New Roman"/>
          <w:szCs w:val="24"/>
          <w:lang w:eastAsia="en-US"/>
        </w:rPr>
        <w:t>,</w:t>
      </w:r>
      <w:r w:rsidRPr="00C4755C">
        <w:rPr>
          <w:rFonts w:eastAsia="Calibri" w:cs="Times New Roman"/>
          <w:szCs w:val="24"/>
          <w:lang w:eastAsia="en-US"/>
        </w:rPr>
        <w:t xml:space="preserve"> które obowiązuje w podatku VAT</w:t>
      </w:r>
      <w:r w:rsidR="00B45A58">
        <w:rPr>
          <w:rFonts w:eastAsia="Calibri" w:cs="Times New Roman"/>
          <w:szCs w:val="24"/>
          <w:lang w:eastAsia="en-US"/>
        </w:rPr>
        <w:t>,</w:t>
      </w:r>
      <w:r w:rsidRPr="00C4755C">
        <w:rPr>
          <w:rFonts w:eastAsia="Calibri" w:cs="Times New Roman"/>
          <w:szCs w:val="24"/>
          <w:lang w:eastAsia="en-US"/>
        </w:rPr>
        <w:t xml:space="preserve"> w związku z któr</w:t>
      </w:r>
      <w:r w:rsidR="0044286C" w:rsidRPr="00C4755C">
        <w:rPr>
          <w:rFonts w:eastAsia="Calibri" w:cs="Times New Roman"/>
          <w:szCs w:val="24"/>
          <w:lang w:eastAsia="en-US"/>
        </w:rPr>
        <w:t>ym</w:t>
      </w:r>
      <w:r w:rsidRPr="00C4755C">
        <w:rPr>
          <w:rFonts w:eastAsia="Calibri" w:cs="Times New Roman"/>
          <w:szCs w:val="24"/>
          <w:lang w:eastAsia="en-US"/>
        </w:rPr>
        <w:t xml:space="preserve"> podatnicy składają deklarację VAT-ZD.</w:t>
      </w:r>
    </w:p>
    <w:p w14:paraId="626009E0" w14:textId="55F5486F"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W projektowanych przepisach znajdują się również rozwiązania, które regulują uregulowanie lub zbycie części danej </w:t>
      </w:r>
      <w:r w:rsidR="00566584" w:rsidRPr="00C4755C">
        <w:rPr>
          <w:rFonts w:eastAsia="Calibri" w:cs="Times New Roman"/>
          <w:szCs w:val="24"/>
          <w:lang w:eastAsia="en-US"/>
        </w:rPr>
        <w:t>wierzytelności</w:t>
      </w:r>
      <w:r w:rsidRPr="00C4755C">
        <w:rPr>
          <w:rFonts w:eastAsia="Calibri" w:cs="Times New Roman"/>
          <w:szCs w:val="24"/>
          <w:lang w:eastAsia="en-US"/>
        </w:rPr>
        <w:t>, co zapewnia elastyczność w radzeniu sobie z</w:t>
      </w:r>
      <w:r w:rsidR="00C4755C">
        <w:rPr>
          <w:rFonts w:eastAsia="Calibri" w:cs="Times New Roman"/>
          <w:szCs w:val="24"/>
          <w:lang w:eastAsia="en-US"/>
        </w:rPr>
        <w:t xml:space="preserve"> </w:t>
      </w:r>
      <w:r w:rsidRPr="00C4755C">
        <w:rPr>
          <w:rFonts w:eastAsia="Calibri" w:cs="Times New Roman"/>
          <w:szCs w:val="24"/>
          <w:lang w:eastAsia="en-US"/>
        </w:rPr>
        <w:t>przeterminowanymi płatnościami zarówno po stronie dłużnika</w:t>
      </w:r>
      <w:r w:rsidR="00B45A58">
        <w:rPr>
          <w:rFonts w:eastAsia="Calibri" w:cs="Times New Roman"/>
          <w:szCs w:val="24"/>
          <w:lang w:eastAsia="en-US"/>
        </w:rPr>
        <w:t>,</w:t>
      </w:r>
      <w:r w:rsidRPr="00C4755C">
        <w:rPr>
          <w:rFonts w:eastAsia="Calibri" w:cs="Times New Roman"/>
          <w:szCs w:val="24"/>
          <w:lang w:eastAsia="en-US"/>
        </w:rPr>
        <w:t xml:space="preserve"> jak i wierzyciela.</w:t>
      </w:r>
    </w:p>
    <w:p w14:paraId="5DC6345C" w14:textId="3D1C8D9F" w:rsidR="00390C72" w:rsidRPr="00C4755C" w:rsidRDefault="00C56B90" w:rsidP="008A4755">
      <w:pPr>
        <w:spacing w:before="240"/>
        <w:jc w:val="both"/>
        <w:rPr>
          <w:rFonts w:cs="Times New Roman"/>
          <w:b/>
          <w:szCs w:val="24"/>
        </w:rPr>
      </w:pPr>
      <w:r w:rsidRPr="00C4755C">
        <w:rPr>
          <w:rFonts w:cs="Times New Roman"/>
          <w:b/>
          <w:szCs w:val="24"/>
        </w:rPr>
        <w:t>3</w:t>
      </w:r>
      <w:r w:rsidR="00036BBD" w:rsidRPr="00C4755C">
        <w:rPr>
          <w:rFonts w:cs="Times New Roman"/>
          <w:b/>
          <w:szCs w:val="24"/>
        </w:rPr>
        <w:t>. Z</w:t>
      </w:r>
      <w:r w:rsidR="00237194" w:rsidRPr="00C4755C">
        <w:rPr>
          <w:rFonts w:cs="Times New Roman"/>
          <w:b/>
          <w:szCs w:val="24"/>
        </w:rPr>
        <w:t>miany</w:t>
      </w:r>
      <w:r w:rsidR="00390C72" w:rsidRPr="00C4755C">
        <w:rPr>
          <w:rFonts w:cs="Times New Roman"/>
          <w:b/>
          <w:szCs w:val="24"/>
        </w:rPr>
        <w:t xml:space="preserve"> w ustawie o podatku dochodowym od osó</w:t>
      </w:r>
      <w:r w:rsidRPr="00C4755C">
        <w:rPr>
          <w:rFonts w:cs="Times New Roman"/>
          <w:b/>
          <w:szCs w:val="24"/>
        </w:rPr>
        <w:t>b prawnych</w:t>
      </w:r>
      <w:r w:rsidR="00822591" w:rsidRPr="00C4755C">
        <w:rPr>
          <w:rStyle w:val="Odwoanieprzypisudolnego"/>
          <w:b/>
          <w:szCs w:val="24"/>
        </w:rPr>
        <w:footnoteReference w:id="12"/>
      </w:r>
      <w:r w:rsidR="00F05B61" w:rsidRPr="00C4755C">
        <w:rPr>
          <w:rFonts w:cs="Times New Roman"/>
          <w:szCs w:val="24"/>
          <w:vertAlign w:val="superscript"/>
        </w:rPr>
        <w:t>)</w:t>
      </w:r>
      <w:r w:rsidRPr="00C4755C">
        <w:rPr>
          <w:rFonts w:cs="Times New Roman"/>
          <w:b/>
          <w:szCs w:val="24"/>
        </w:rPr>
        <w:t xml:space="preserve"> (art. 3</w:t>
      </w:r>
      <w:r w:rsidR="00390C72" w:rsidRPr="00C4755C">
        <w:rPr>
          <w:rFonts w:cs="Times New Roman"/>
          <w:b/>
          <w:szCs w:val="24"/>
        </w:rPr>
        <w:t>)</w:t>
      </w:r>
    </w:p>
    <w:p w14:paraId="3612AF53" w14:textId="03E352CA"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zakresie podatków dochodowych, zarówno od osób fizycznych, jak i od osób prawnych, ustawa przewiduje wprowadzenie przepisów szczególnych mających na celu rozpoznawanie skutków w podatku dochodowym tzw. „złych długów”.</w:t>
      </w:r>
      <w:r w:rsidRPr="00C4755C" w:rsidDel="00C903CB">
        <w:rPr>
          <w:rFonts w:eastAsia="Calibri" w:cs="Times New Roman"/>
          <w:szCs w:val="24"/>
          <w:lang w:eastAsia="en-US"/>
        </w:rPr>
        <w:t xml:space="preserve"> </w:t>
      </w:r>
    </w:p>
    <w:p w14:paraId="7A998D7B" w14:textId="0D9C99B2" w:rsidR="00087D95"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podatku dochodowym od osób prawnych zasadą jest, że przychodem są kwoty należne</w:t>
      </w:r>
      <w:r w:rsidR="00B45A58">
        <w:rPr>
          <w:rFonts w:eastAsia="Calibri" w:cs="Times New Roman"/>
          <w:szCs w:val="24"/>
          <w:lang w:eastAsia="en-US"/>
        </w:rPr>
        <w:t>,</w:t>
      </w:r>
      <w:r w:rsidRPr="00C4755C">
        <w:rPr>
          <w:rFonts w:eastAsia="Calibri" w:cs="Times New Roman"/>
          <w:szCs w:val="24"/>
          <w:lang w:eastAsia="en-US"/>
        </w:rPr>
        <w:t xml:space="preserve"> choćby faktycznie nie zostały otrzymane. Oznacza to, że przychód podatkowy powstaje niezależnie od faktu uregulowania należności wynikającej z tego przychodu. Analogicznie uregulowane są koszty podatkowe. Dłużnicy, zalegający z zapłatą zobowiązań wynikających z operacji gospodarczych, uprawnieni są do obniżania przychodu do opodatkowania o</w:t>
      </w:r>
      <w:r w:rsidR="00584C51" w:rsidRPr="00C4755C">
        <w:rPr>
          <w:rFonts w:eastAsia="Calibri" w:cs="Times New Roman"/>
          <w:szCs w:val="24"/>
          <w:lang w:eastAsia="en-US"/>
        </w:rPr>
        <w:t xml:space="preserve"> </w:t>
      </w:r>
      <w:r w:rsidRPr="00C4755C">
        <w:rPr>
          <w:rFonts w:eastAsia="Calibri" w:cs="Times New Roman"/>
          <w:szCs w:val="24"/>
          <w:lang w:eastAsia="en-US"/>
        </w:rPr>
        <w:t>niezapłacone wierzycielowi kwoty z tytułu dok</w:t>
      </w:r>
      <w:r w:rsidR="00EF6E97" w:rsidRPr="00C4755C">
        <w:rPr>
          <w:rFonts w:eastAsia="Calibri" w:cs="Times New Roman"/>
          <w:szCs w:val="24"/>
          <w:lang w:eastAsia="en-US"/>
        </w:rPr>
        <w:t>onanych operacji gospodarczych.</w:t>
      </w:r>
    </w:p>
    <w:p w14:paraId="707739BA" w14:textId="60D71724" w:rsidR="00087D95"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lastRenderedPageBreak/>
        <w:t>Kwestia tzw. „nieściągalnych wierzytelności” równi</w:t>
      </w:r>
      <w:r w:rsidR="002D2AF7" w:rsidRPr="00C4755C">
        <w:rPr>
          <w:rFonts w:eastAsia="Calibri" w:cs="Times New Roman"/>
          <w:szCs w:val="24"/>
          <w:lang w:eastAsia="en-US"/>
        </w:rPr>
        <w:t>eż jest uregulowana w ustawie o</w:t>
      </w:r>
      <w:r w:rsidR="00C4755C">
        <w:rPr>
          <w:rFonts w:eastAsia="Calibri" w:cs="Times New Roman"/>
          <w:szCs w:val="24"/>
          <w:lang w:eastAsia="en-US"/>
        </w:rPr>
        <w:t xml:space="preserve"> </w:t>
      </w:r>
      <w:r w:rsidRPr="00C4755C">
        <w:rPr>
          <w:rFonts w:eastAsia="Calibri" w:cs="Times New Roman"/>
          <w:szCs w:val="24"/>
          <w:lang w:eastAsia="en-US"/>
        </w:rPr>
        <w:t>podatku od towarów i usług. Rozwiązania te dot</w:t>
      </w:r>
      <w:r w:rsidR="002D2AF7" w:rsidRPr="00C4755C">
        <w:rPr>
          <w:rFonts w:eastAsia="Calibri" w:cs="Times New Roman"/>
          <w:szCs w:val="24"/>
          <w:lang w:eastAsia="en-US"/>
        </w:rPr>
        <w:t>yczą wierzycieli i dłużników. W</w:t>
      </w:r>
      <w:r w:rsidR="00C4755C">
        <w:rPr>
          <w:rFonts w:eastAsia="Calibri" w:cs="Times New Roman"/>
          <w:szCs w:val="24"/>
          <w:lang w:eastAsia="en-US"/>
        </w:rPr>
        <w:t xml:space="preserve"> </w:t>
      </w:r>
      <w:r w:rsidRPr="00C4755C">
        <w:rPr>
          <w:rFonts w:eastAsia="Calibri" w:cs="Times New Roman"/>
          <w:szCs w:val="24"/>
          <w:lang w:eastAsia="en-US"/>
        </w:rPr>
        <w:t>projekcie proponuje się zbliżenie tych dwóch systemó</w:t>
      </w:r>
      <w:r w:rsidR="002D2AF7" w:rsidRPr="00C4755C">
        <w:rPr>
          <w:rFonts w:eastAsia="Calibri" w:cs="Times New Roman"/>
          <w:szCs w:val="24"/>
          <w:lang w:eastAsia="en-US"/>
        </w:rPr>
        <w:t>w rozliczeń poprzez adaptację w</w:t>
      </w:r>
      <w:r w:rsidR="00C4755C">
        <w:rPr>
          <w:rFonts w:eastAsia="Calibri" w:cs="Times New Roman"/>
          <w:szCs w:val="24"/>
          <w:lang w:eastAsia="en-US"/>
        </w:rPr>
        <w:t xml:space="preserve"> </w:t>
      </w:r>
      <w:r w:rsidRPr="00C4755C">
        <w:rPr>
          <w:rFonts w:eastAsia="Calibri" w:cs="Times New Roman"/>
          <w:szCs w:val="24"/>
          <w:lang w:eastAsia="en-US"/>
        </w:rPr>
        <w:t>podatku dochodowym rozwiązania przyjętego w podatku od towarów</w:t>
      </w:r>
      <w:r w:rsidR="002D2AF7" w:rsidRPr="00C4755C">
        <w:rPr>
          <w:rFonts w:eastAsia="Calibri" w:cs="Times New Roman"/>
          <w:szCs w:val="24"/>
          <w:lang w:eastAsia="en-US"/>
        </w:rPr>
        <w:t xml:space="preserve"> i usług, z</w:t>
      </w:r>
      <w:r w:rsidR="00C4755C">
        <w:rPr>
          <w:rFonts w:eastAsia="Calibri" w:cs="Times New Roman"/>
          <w:szCs w:val="24"/>
          <w:lang w:eastAsia="en-US"/>
        </w:rPr>
        <w:t xml:space="preserve"> </w:t>
      </w:r>
      <w:r w:rsidRPr="00C4755C">
        <w:rPr>
          <w:rFonts w:eastAsia="Calibri" w:cs="Times New Roman"/>
          <w:szCs w:val="24"/>
          <w:lang w:eastAsia="en-US"/>
        </w:rPr>
        <w:t>uwzględnieniem różnic uwzględniających odrębność cech tych dwóch podatków.</w:t>
      </w:r>
    </w:p>
    <w:p w14:paraId="10177F84" w14:textId="686E537C" w:rsidR="00EA312B"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Projekt przewiduje wprowadzenie możliwości pomniejszenia przez wierzyciela podstawy opodatkowania o </w:t>
      </w:r>
      <w:r w:rsidR="00F664CE" w:rsidRPr="00C4755C">
        <w:rPr>
          <w:rFonts w:eastAsia="Calibri" w:cs="Times New Roman"/>
          <w:szCs w:val="24"/>
          <w:lang w:eastAsia="en-US"/>
        </w:rPr>
        <w:t xml:space="preserve">zaliczaną do przychodów należnych wartość wierzytelności </w:t>
      </w:r>
      <w:r w:rsidR="00725278" w:rsidRPr="00C4755C">
        <w:rPr>
          <w:rFonts w:eastAsia="Calibri" w:cs="Times New Roman"/>
          <w:szCs w:val="24"/>
          <w:lang w:eastAsia="en-US"/>
        </w:rPr>
        <w:t xml:space="preserve">o zapłatę świadczenia pieniężnego </w:t>
      </w:r>
      <w:r w:rsidR="00EA312B" w:rsidRPr="00C4755C">
        <w:rPr>
          <w:rFonts w:eastAsia="Calibri" w:cs="Times New Roman"/>
          <w:szCs w:val="24"/>
          <w:lang w:eastAsia="en-US"/>
        </w:rPr>
        <w:t>w rozumieniu ustawy z dnia 8 marca 2013 r. o przeciwdziałaniu nadmiernym opóźnieniom w transakcjach handlowych</w:t>
      </w:r>
      <w:r w:rsidRPr="00C4755C">
        <w:rPr>
          <w:rFonts w:eastAsia="Calibri" w:cs="Times New Roman"/>
          <w:szCs w:val="24"/>
          <w:lang w:eastAsia="en-US"/>
        </w:rPr>
        <w:t>, jeżeli wierzytelność ta nie zostanie uregulowana lub</w:t>
      </w:r>
      <w:r w:rsidR="00584C51" w:rsidRPr="00C4755C">
        <w:rPr>
          <w:rFonts w:eastAsia="Calibri" w:cs="Times New Roman"/>
          <w:szCs w:val="24"/>
          <w:lang w:eastAsia="en-US"/>
        </w:rPr>
        <w:t xml:space="preserve"> </w:t>
      </w:r>
      <w:r w:rsidRPr="00C4755C">
        <w:rPr>
          <w:rFonts w:eastAsia="Calibri" w:cs="Times New Roman"/>
          <w:szCs w:val="24"/>
          <w:lang w:eastAsia="en-US"/>
        </w:rPr>
        <w:t xml:space="preserve">zbyta w ciągu </w:t>
      </w:r>
      <w:r w:rsidR="00B12553" w:rsidRPr="00C4755C">
        <w:rPr>
          <w:rFonts w:eastAsia="Calibri" w:cs="Times New Roman"/>
          <w:szCs w:val="24"/>
          <w:lang w:eastAsia="en-US"/>
        </w:rPr>
        <w:t>90</w:t>
      </w:r>
      <w:r w:rsidRPr="00C4755C">
        <w:rPr>
          <w:rFonts w:eastAsia="Calibri" w:cs="Times New Roman"/>
          <w:szCs w:val="24"/>
          <w:lang w:eastAsia="en-US"/>
        </w:rPr>
        <w:t xml:space="preserve"> dni od dnia upływu terminu jej płatności okr</w:t>
      </w:r>
      <w:r w:rsidR="00C21F2C" w:rsidRPr="00C4755C">
        <w:rPr>
          <w:rFonts w:eastAsia="Calibri" w:cs="Times New Roman"/>
          <w:szCs w:val="24"/>
          <w:lang w:eastAsia="en-US"/>
        </w:rPr>
        <w:t>eślonego w</w:t>
      </w:r>
      <w:r w:rsidR="00C4755C">
        <w:rPr>
          <w:rFonts w:eastAsia="Calibri" w:cs="Times New Roman"/>
          <w:szCs w:val="24"/>
          <w:lang w:eastAsia="en-US"/>
        </w:rPr>
        <w:t xml:space="preserve"> </w:t>
      </w:r>
      <w:r w:rsidR="00E75479" w:rsidRPr="00C4755C">
        <w:rPr>
          <w:rFonts w:eastAsia="Calibri" w:cs="Times New Roman"/>
          <w:szCs w:val="24"/>
          <w:lang w:eastAsia="en-US"/>
        </w:rPr>
        <w:t xml:space="preserve">umowie lub na </w:t>
      </w:r>
      <w:r w:rsidR="00170DEB" w:rsidRPr="00C4755C">
        <w:rPr>
          <w:rFonts w:eastAsia="Calibri" w:cs="Times New Roman"/>
          <w:szCs w:val="24"/>
          <w:lang w:eastAsia="en-US"/>
        </w:rPr>
        <w:t>fakturze (rachunku).</w:t>
      </w:r>
    </w:p>
    <w:p w14:paraId="72210173" w14:textId="0B71F165" w:rsidR="00A31F77" w:rsidRPr="00C4755C" w:rsidRDefault="00A31F77"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Zgodnie z proponowanym w projekcie nowym art. 7 ust. 2a ustawy o przeciwdziałaniu nadmiernym opóźnieniom w transakcjach handlowych, w transakcjach </w:t>
      </w:r>
      <w:r w:rsidR="001571F2" w:rsidRPr="00C4755C">
        <w:rPr>
          <w:rFonts w:eastAsia="Calibri" w:cs="Times New Roman"/>
          <w:szCs w:val="24"/>
          <w:lang w:eastAsia="en-US"/>
        </w:rPr>
        <w:t>asymetrycznych</w:t>
      </w:r>
      <w:r w:rsidRPr="00C4755C">
        <w:rPr>
          <w:rFonts w:eastAsia="Calibri" w:cs="Times New Roman"/>
          <w:szCs w:val="24"/>
          <w:lang w:eastAsia="en-US"/>
        </w:rPr>
        <w:t>, tj. jeżeli dłużnikiem zobowiązanym do zapłaty za towary lub usł</w:t>
      </w:r>
      <w:r w:rsidR="00F3246B" w:rsidRPr="00C4755C">
        <w:rPr>
          <w:rFonts w:eastAsia="Calibri" w:cs="Times New Roman"/>
          <w:szCs w:val="24"/>
          <w:lang w:eastAsia="en-US"/>
        </w:rPr>
        <w:t>ugi jest duży przedsiębiorca, a</w:t>
      </w:r>
      <w:r w:rsidR="00C4755C">
        <w:rPr>
          <w:rFonts w:eastAsia="Calibri" w:cs="Times New Roman"/>
          <w:szCs w:val="24"/>
          <w:lang w:eastAsia="en-US"/>
        </w:rPr>
        <w:t xml:space="preserve"> </w:t>
      </w:r>
      <w:r w:rsidRPr="00C4755C">
        <w:rPr>
          <w:rFonts w:eastAsia="Calibri" w:cs="Times New Roman"/>
          <w:szCs w:val="24"/>
          <w:lang w:eastAsia="en-US"/>
        </w:rPr>
        <w:t>wierzycielem jest mikro, mały albo średni przedsiębiorca t</w:t>
      </w:r>
      <w:r w:rsidR="00F3246B" w:rsidRPr="00C4755C">
        <w:rPr>
          <w:rFonts w:eastAsia="Calibri" w:cs="Times New Roman"/>
          <w:szCs w:val="24"/>
          <w:lang w:eastAsia="en-US"/>
        </w:rPr>
        <w:t>ermin zapłaty określony w</w:t>
      </w:r>
      <w:r w:rsidR="00C4755C">
        <w:rPr>
          <w:rFonts w:eastAsia="Calibri" w:cs="Times New Roman"/>
          <w:szCs w:val="24"/>
          <w:lang w:eastAsia="en-US"/>
        </w:rPr>
        <w:t xml:space="preserve"> </w:t>
      </w:r>
      <w:r w:rsidRPr="00C4755C">
        <w:rPr>
          <w:rFonts w:eastAsia="Calibri" w:cs="Times New Roman"/>
          <w:szCs w:val="24"/>
          <w:lang w:eastAsia="en-US"/>
        </w:rPr>
        <w:t xml:space="preserve">umowie nie będzie mógł przekraczać 60 dni, liczonych od dnia doręczenia dłużnikowi faktury lub rachunku, potwierdzających dostawę towaru lub wykonanie usługi (lub od </w:t>
      </w:r>
      <w:r w:rsidRPr="00C4755C">
        <w:rPr>
          <w:rFonts w:cs="Times New Roman"/>
          <w:szCs w:val="24"/>
        </w:rPr>
        <w:t>otrzymania przez dłużnika towaru lub usługi zgodni</w:t>
      </w:r>
      <w:r w:rsidR="00CA6E79" w:rsidRPr="00C4755C">
        <w:rPr>
          <w:rFonts w:cs="Times New Roman"/>
          <w:szCs w:val="24"/>
        </w:rPr>
        <w:t>e z projektowanym art. 7 ust. 4</w:t>
      </w:r>
      <w:r w:rsidR="00C4755C">
        <w:rPr>
          <w:rFonts w:cs="Times New Roman"/>
          <w:szCs w:val="24"/>
        </w:rPr>
        <w:t xml:space="preserve"> </w:t>
      </w:r>
      <w:r w:rsidRPr="00C4755C">
        <w:rPr>
          <w:rFonts w:cs="Times New Roman"/>
          <w:szCs w:val="24"/>
        </w:rPr>
        <w:t>ustawy)</w:t>
      </w:r>
      <w:r w:rsidR="00170DEB" w:rsidRPr="00C4755C">
        <w:rPr>
          <w:rFonts w:eastAsia="Calibri" w:cs="Times New Roman"/>
          <w:szCs w:val="24"/>
          <w:lang w:eastAsia="en-US"/>
        </w:rPr>
        <w:t>.</w:t>
      </w:r>
    </w:p>
    <w:p w14:paraId="7741845F" w14:textId="77777777" w:rsidR="00A31F77" w:rsidRPr="00C4755C" w:rsidRDefault="00A31F77" w:rsidP="00C4755C">
      <w:pPr>
        <w:widowControl/>
        <w:autoSpaceDE/>
        <w:autoSpaceDN/>
        <w:adjustRightInd/>
        <w:spacing w:before="120"/>
        <w:jc w:val="both"/>
        <w:rPr>
          <w:rFonts w:cs="Times New Roman"/>
          <w:szCs w:val="24"/>
        </w:rPr>
      </w:pPr>
      <w:r w:rsidRPr="00C4755C">
        <w:rPr>
          <w:rFonts w:eastAsia="Calibri" w:cs="Times New Roman"/>
          <w:szCs w:val="24"/>
          <w:lang w:eastAsia="en-US"/>
        </w:rPr>
        <w:t xml:space="preserve">W przypadku ustalenia terminu niezgodnego z tym przepisem, zastosowanie będzie miał art. 13 ust. 2 ustawy o przeciwdziałaniu nadmiernym opóźnieniom w transakcjach handlowych w nowym brzmieniu, zgodnie z którym </w:t>
      </w:r>
      <w:r w:rsidRPr="00C4755C">
        <w:rPr>
          <w:rFonts w:cs="Times New Roman"/>
          <w:szCs w:val="24"/>
        </w:rPr>
        <w:t>z mocy prawa stosowany będzie termin zapłaty 60 dni.</w:t>
      </w:r>
    </w:p>
    <w:p w14:paraId="27802A6C" w14:textId="2D4660FF" w:rsidR="00A31F77" w:rsidRPr="00C4755C" w:rsidRDefault="00A31F77" w:rsidP="00C4755C">
      <w:pPr>
        <w:widowControl/>
        <w:autoSpaceDE/>
        <w:autoSpaceDN/>
        <w:adjustRightInd/>
        <w:spacing w:before="120"/>
        <w:jc w:val="both"/>
        <w:rPr>
          <w:rFonts w:cs="Times New Roman"/>
          <w:szCs w:val="24"/>
        </w:rPr>
      </w:pPr>
      <w:r w:rsidRPr="00C4755C">
        <w:rPr>
          <w:rFonts w:cs="Times New Roman"/>
          <w:szCs w:val="24"/>
        </w:rPr>
        <w:t>Również w symetrycznych transakcjach handlowych (np. pomiędzy dwoma dużymi przedsiębiorcami</w:t>
      </w:r>
      <w:r w:rsidR="00E56CE1" w:rsidRPr="00C4755C">
        <w:rPr>
          <w:rFonts w:cs="Times New Roman"/>
          <w:szCs w:val="24"/>
        </w:rPr>
        <w:t>)</w:t>
      </w:r>
      <w:r w:rsidRPr="00C4755C">
        <w:rPr>
          <w:rFonts w:cs="Times New Roman"/>
          <w:szCs w:val="24"/>
        </w:rPr>
        <w:t>, w których możliwe będzie wydłużenie terminu zapłaty powyżej 60 dni po spełnieniu określonych warunków, w sytuacji gdy nie zostaną one spełnione, zamiast postanowień umownych ustalających dłuższy niż 60 dni termin zapłaty będzie obowiązywał 60-dniowy termin zapłaty.</w:t>
      </w:r>
    </w:p>
    <w:p w14:paraId="790698B4" w14:textId="65D6836A" w:rsidR="00DB44B8"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przypadku, gdy po dokonaniu korekty podstawy opodatkowania należność zostałaby uregulowana (zbyta), zgodnie z projektem, wierzyciel będzie musiał zwiększyć podstawę opodatkowania oraz zapłacić podatek w rozliczeniu za</w:t>
      </w:r>
      <w:r w:rsidR="00584C51" w:rsidRPr="00C4755C">
        <w:rPr>
          <w:rFonts w:eastAsia="Calibri" w:cs="Times New Roman"/>
          <w:szCs w:val="24"/>
          <w:lang w:eastAsia="en-US"/>
        </w:rPr>
        <w:t xml:space="preserve"> </w:t>
      </w:r>
      <w:r w:rsidRPr="00C4755C">
        <w:rPr>
          <w:rFonts w:eastAsia="Calibri" w:cs="Times New Roman"/>
          <w:szCs w:val="24"/>
          <w:lang w:eastAsia="en-US"/>
        </w:rPr>
        <w:t>okres, w którym należność została uregulowana (zbyta).</w:t>
      </w:r>
    </w:p>
    <w:p w14:paraId="28EE8796" w14:textId="6435D050" w:rsidR="00087D95"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lastRenderedPageBreak/>
        <w:t>Na dłużnika z kolei, w celu pobudzenia impulsu nakierowanego na regulowanie jego zobowiązań gospodarczych</w:t>
      </w:r>
      <w:r w:rsidR="00B45A58">
        <w:rPr>
          <w:rFonts w:eastAsia="Calibri" w:cs="Times New Roman"/>
          <w:szCs w:val="24"/>
          <w:lang w:eastAsia="en-US"/>
        </w:rPr>
        <w:t>,</w:t>
      </w:r>
      <w:r w:rsidRPr="00C4755C">
        <w:rPr>
          <w:rFonts w:eastAsia="Calibri" w:cs="Times New Roman"/>
          <w:szCs w:val="24"/>
          <w:lang w:eastAsia="en-US"/>
        </w:rPr>
        <w:t xml:space="preserve"> projekt przewiduje nałożenie obowiązku doliczenia do podstawy opodatkowania </w:t>
      </w:r>
      <w:r w:rsidR="00DB44B8" w:rsidRPr="00C4755C">
        <w:rPr>
          <w:rFonts w:eastAsia="Calibri" w:cs="Times New Roman"/>
          <w:szCs w:val="24"/>
          <w:lang w:eastAsia="en-US"/>
        </w:rPr>
        <w:t>zaliczanej do kosztów uzyskania przychodu wartości zobowiązania</w:t>
      </w:r>
      <w:r w:rsidR="00F3246B" w:rsidRPr="00C4755C">
        <w:rPr>
          <w:rFonts w:eastAsia="Calibri" w:cs="Times New Roman"/>
          <w:szCs w:val="24"/>
          <w:lang w:eastAsia="en-US"/>
        </w:rPr>
        <w:t>. W</w:t>
      </w:r>
      <w:r w:rsidR="0090411F" w:rsidRPr="00C4755C">
        <w:rPr>
          <w:rFonts w:eastAsia="Calibri" w:cs="Times New Roman"/>
          <w:szCs w:val="24"/>
          <w:lang w:eastAsia="en-US"/>
        </w:rPr>
        <w:t xml:space="preserve"> </w:t>
      </w:r>
      <w:r w:rsidRPr="00C4755C">
        <w:rPr>
          <w:rFonts w:eastAsia="Calibri" w:cs="Times New Roman"/>
          <w:szCs w:val="24"/>
          <w:lang w:eastAsia="en-US"/>
        </w:rPr>
        <w:t>przypadku uregulowania zobowiązania dłużnik nabęd</w:t>
      </w:r>
      <w:r w:rsidR="00F3246B" w:rsidRPr="00C4755C">
        <w:rPr>
          <w:rFonts w:eastAsia="Calibri" w:cs="Times New Roman"/>
          <w:szCs w:val="24"/>
          <w:lang w:eastAsia="en-US"/>
        </w:rPr>
        <w:t>zie prawo do korekty zwrotnej w</w:t>
      </w:r>
      <w:r w:rsidR="0090411F" w:rsidRPr="00C4755C">
        <w:rPr>
          <w:rFonts w:eastAsia="Calibri" w:cs="Times New Roman"/>
          <w:szCs w:val="24"/>
          <w:lang w:eastAsia="en-US"/>
        </w:rPr>
        <w:t xml:space="preserve"> </w:t>
      </w:r>
      <w:r w:rsidRPr="00C4755C">
        <w:rPr>
          <w:rFonts w:eastAsia="Calibri" w:cs="Times New Roman"/>
          <w:szCs w:val="24"/>
          <w:lang w:eastAsia="en-US"/>
        </w:rPr>
        <w:t>rozliczeniu za okres, w którym zobowi</w:t>
      </w:r>
      <w:r w:rsidR="00EF6E97" w:rsidRPr="00C4755C">
        <w:rPr>
          <w:rFonts w:eastAsia="Calibri" w:cs="Times New Roman"/>
          <w:szCs w:val="24"/>
          <w:lang w:eastAsia="en-US"/>
        </w:rPr>
        <w:t>ązanie to zostanie uregulowane.</w:t>
      </w:r>
    </w:p>
    <w:p w14:paraId="61D45870" w14:textId="56E249D1" w:rsidR="00087D95"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Korekty dokonane będą wyłącznie w odniesieniu do wierzytelności oraz zobowiązań powstałych w związku z transakcjami </w:t>
      </w:r>
      <w:r w:rsidR="001C5F1C" w:rsidRPr="00C4755C">
        <w:rPr>
          <w:rFonts w:eastAsia="Calibri" w:cs="Times New Roman"/>
          <w:szCs w:val="24"/>
          <w:lang w:eastAsia="en-US"/>
        </w:rPr>
        <w:t xml:space="preserve">handlowymi, </w:t>
      </w:r>
      <w:r w:rsidR="001C5F1C" w:rsidRPr="00C4755C">
        <w:rPr>
          <w:rFonts w:cs="Times New Roman"/>
          <w:szCs w:val="24"/>
        </w:rPr>
        <w:t>jeżeli z tytułu tych transakcji przynajmniej u jednej ze stron określa się przychody lub koszty uzyskania przychodów, bez względu na termin ich ujęcia w tych przychodach lub kosztach uzyskania przychodów</w:t>
      </w:r>
      <w:r w:rsidRPr="00C4755C">
        <w:rPr>
          <w:rFonts w:eastAsia="Calibri" w:cs="Times New Roman"/>
          <w:szCs w:val="24"/>
          <w:lang w:eastAsia="en-US"/>
        </w:rPr>
        <w:t>. Oznacza to, że jeśli np. podatnik nabędzie środek trwały, od którego dokonuje odpisów amortyzacyjnych rozliczanych przez 3 lata, to</w:t>
      </w:r>
      <w:r w:rsidR="00584C51" w:rsidRPr="00C4755C">
        <w:rPr>
          <w:rFonts w:eastAsia="Calibri" w:cs="Times New Roman"/>
          <w:szCs w:val="24"/>
          <w:lang w:eastAsia="en-US"/>
        </w:rPr>
        <w:t xml:space="preserve"> </w:t>
      </w:r>
      <w:r w:rsidRPr="00C4755C">
        <w:rPr>
          <w:rFonts w:eastAsia="Calibri" w:cs="Times New Roman"/>
          <w:szCs w:val="24"/>
          <w:lang w:eastAsia="en-US"/>
        </w:rPr>
        <w:t>korekta podstawy opodatkowania uzależniona zostanie wyłącznie od terminu zapłaty kontra</w:t>
      </w:r>
      <w:r w:rsidR="00C21F2C" w:rsidRPr="00C4755C">
        <w:rPr>
          <w:rFonts w:eastAsia="Calibri" w:cs="Times New Roman"/>
          <w:szCs w:val="24"/>
          <w:lang w:eastAsia="en-US"/>
        </w:rPr>
        <w:t>hentowi za ten środek trwały, a</w:t>
      </w:r>
      <w:r w:rsidR="00C4755C">
        <w:rPr>
          <w:rFonts w:eastAsia="Calibri" w:cs="Times New Roman"/>
          <w:szCs w:val="24"/>
          <w:lang w:eastAsia="en-US"/>
        </w:rPr>
        <w:t xml:space="preserve"> </w:t>
      </w:r>
      <w:r w:rsidRPr="00C4755C">
        <w:rPr>
          <w:rFonts w:eastAsia="Calibri" w:cs="Times New Roman"/>
          <w:szCs w:val="24"/>
          <w:lang w:eastAsia="en-US"/>
        </w:rPr>
        <w:t>nie od okresu amortyzacji.</w:t>
      </w:r>
    </w:p>
    <w:p w14:paraId="1C81D79F" w14:textId="0B39E284"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Na wzór rozwiązań obowiązujących na gruncie podatku VAT proponuje się wprowadzenie dodatkowych warunków uprawniających do proponowanego rozliczenia, tj. transakcja handlowa zawarta jest w ramach działalności wierzyciela oraz działalności dłużnika, z których dochody (zarówno w przypadku działalność wierzyciela, jak i działalność dłużnika) podlegają opodatkowaniu podatkiem dochodowym na terytorium Rzeczypospolitej Polskiej, brak postępowania restukturyzacyjnego lub likwidacyjnego wobec dłużnika na ostatni dzień miesiąca poprzedzającego dzień złożenia zeznania podatkowego, określony czas wystawienia faktury lub zawarcia umowy dokumentującej wierzytelność.</w:t>
      </w:r>
    </w:p>
    <w:p w14:paraId="13AD400B" w14:textId="77777777"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Proponowana korekta wpływać będzie również na wysokość podstawy opodatkowania uwzględnianej przy wyliczaniu wysokości należnych zaliczek na podatek dochodowy, ale wyłącznie w przypadku uzyskiwania przez podatnika dochodu.</w:t>
      </w:r>
    </w:p>
    <w:p w14:paraId="787EAADA" w14:textId="00282C93" w:rsidR="00E75479" w:rsidRPr="00C4755C" w:rsidRDefault="00E7547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W projektowanej regulacji wyłącza się możliwość stosowania przedmiotowych przepisów</w:t>
      </w:r>
      <w:r w:rsidR="00C4755C">
        <w:rPr>
          <w:rFonts w:eastAsia="Calibri" w:cs="Times New Roman"/>
          <w:szCs w:val="24"/>
          <w:lang w:eastAsia="en-US"/>
        </w:rPr>
        <w:t xml:space="preserve"> </w:t>
      </w:r>
      <w:r w:rsidRPr="00C4755C">
        <w:rPr>
          <w:rFonts w:eastAsia="Calibri" w:cs="Times New Roman"/>
          <w:szCs w:val="24"/>
          <w:lang w:eastAsia="en-US"/>
        </w:rPr>
        <w:t xml:space="preserve">między podmiotami powiązanymi w rozumieniu przepisów ustawy o podatku dochodowym od osób prawnych. Przepisy te mają zniechęcać przedsiębiorców do zalegania z zapłatą, a w relacjach między podmiotami powiązanymi tego typu problemy – co wynika z definicji „podmiotu powiązanego” </w:t>
      </w:r>
      <w:r w:rsidR="009D7C20" w:rsidRPr="009D7C20">
        <w:rPr>
          <w:rFonts w:eastAsia="Calibri" w:cs="Times New Roman"/>
          <w:szCs w:val="24"/>
          <w:lang w:eastAsia="en-US"/>
        </w:rPr>
        <w:t>–</w:t>
      </w:r>
      <w:r w:rsidR="009D7C20">
        <w:rPr>
          <w:rFonts w:eastAsia="Calibri" w:cs="Times New Roman"/>
          <w:szCs w:val="24"/>
          <w:lang w:eastAsia="en-US"/>
        </w:rPr>
        <w:t xml:space="preserve"> </w:t>
      </w:r>
      <w:r w:rsidRPr="00C4755C">
        <w:rPr>
          <w:rFonts w:eastAsia="Calibri" w:cs="Times New Roman"/>
          <w:szCs w:val="24"/>
          <w:lang w:eastAsia="en-US"/>
        </w:rPr>
        <w:t>nie występują.</w:t>
      </w:r>
    </w:p>
    <w:p w14:paraId="181219AD" w14:textId="77777777" w:rsidR="00087D95" w:rsidRPr="00C4755C" w:rsidRDefault="00087D9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lastRenderedPageBreak/>
        <w:t>W zakresie wierzytelności nieobjętych proponowanym systemem rozliczeń zasadnym jest pozostawienie istniejących obecnie rozwiązań.</w:t>
      </w:r>
    </w:p>
    <w:p w14:paraId="2BBBD57A" w14:textId="6C142133" w:rsidR="007E3F99" w:rsidRPr="00C4755C" w:rsidRDefault="007E3F99"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Ponadto wprowadza się obowiązek wykazywania wierzytelności lub zobowiązań, które powodują zwiększenia lub zmniejszenia podstawy opodatkowania w zeznaniach podatkowych. Jest to rozwiązanie analogiczne do tego</w:t>
      </w:r>
      <w:r w:rsidR="00B45A58">
        <w:rPr>
          <w:rFonts w:eastAsia="Calibri" w:cs="Times New Roman"/>
          <w:szCs w:val="24"/>
          <w:lang w:eastAsia="en-US"/>
        </w:rPr>
        <w:t>,</w:t>
      </w:r>
      <w:r w:rsidRPr="00C4755C">
        <w:rPr>
          <w:rFonts w:eastAsia="Calibri" w:cs="Times New Roman"/>
          <w:szCs w:val="24"/>
          <w:lang w:eastAsia="en-US"/>
        </w:rPr>
        <w:t xml:space="preserve"> które obowiązuje w podatku VAT</w:t>
      </w:r>
      <w:r w:rsidR="00B45A58">
        <w:rPr>
          <w:rFonts w:eastAsia="Calibri" w:cs="Times New Roman"/>
          <w:szCs w:val="24"/>
          <w:lang w:eastAsia="en-US"/>
        </w:rPr>
        <w:t>,</w:t>
      </w:r>
      <w:r w:rsidRPr="00C4755C">
        <w:rPr>
          <w:rFonts w:eastAsia="Calibri" w:cs="Times New Roman"/>
          <w:szCs w:val="24"/>
          <w:lang w:eastAsia="en-US"/>
        </w:rPr>
        <w:t xml:space="preserve"> w związku z </w:t>
      </w:r>
      <w:r w:rsidR="0044286C" w:rsidRPr="00C4755C">
        <w:rPr>
          <w:rFonts w:eastAsia="Calibri" w:cs="Times New Roman"/>
          <w:szCs w:val="24"/>
          <w:lang w:eastAsia="en-US"/>
        </w:rPr>
        <w:t xml:space="preserve">którym </w:t>
      </w:r>
      <w:r w:rsidRPr="00C4755C">
        <w:rPr>
          <w:rFonts w:eastAsia="Calibri" w:cs="Times New Roman"/>
          <w:szCs w:val="24"/>
          <w:lang w:eastAsia="en-US"/>
        </w:rPr>
        <w:t>podatnicy składają deklarację VAT-ZD.</w:t>
      </w:r>
    </w:p>
    <w:p w14:paraId="7A3FBDE6" w14:textId="3E2287BD" w:rsidR="00C21F2C" w:rsidRPr="00C4755C" w:rsidRDefault="00B168D3" w:rsidP="00C4755C">
      <w:pPr>
        <w:spacing w:before="120"/>
        <w:jc w:val="both"/>
        <w:rPr>
          <w:rFonts w:eastAsia="Calibri" w:cs="Times New Roman"/>
          <w:szCs w:val="24"/>
          <w:lang w:eastAsia="en-US"/>
        </w:rPr>
      </w:pPr>
      <w:r w:rsidRPr="00C4755C">
        <w:rPr>
          <w:rFonts w:eastAsia="Calibri" w:cs="Times New Roman"/>
          <w:szCs w:val="24"/>
          <w:lang w:eastAsia="en-US"/>
        </w:rPr>
        <w:t>W projektowanych przepisach znajdują się również rozwiązania, które pozwalają na ich stosowanie</w:t>
      </w:r>
      <w:r w:rsidR="00C4755C">
        <w:rPr>
          <w:rFonts w:eastAsia="Calibri" w:cs="Times New Roman"/>
          <w:szCs w:val="24"/>
          <w:lang w:eastAsia="en-US"/>
        </w:rPr>
        <w:t xml:space="preserve"> </w:t>
      </w:r>
      <w:r w:rsidRPr="00C4755C">
        <w:rPr>
          <w:rFonts w:eastAsia="Calibri" w:cs="Times New Roman"/>
          <w:szCs w:val="24"/>
          <w:lang w:eastAsia="en-US"/>
        </w:rPr>
        <w:t xml:space="preserve">w przypadku uregulowania lub zbycia części danej </w:t>
      </w:r>
      <w:r w:rsidR="00A263DE" w:rsidRPr="00C4755C">
        <w:rPr>
          <w:rFonts w:eastAsia="Calibri" w:cs="Times New Roman"/>
          <w:szCs w:val="24"/>
          <w:lang w:eastAsia="en-US"/>
        </w:rPr>
        <w:t>wierzytelności</w:t>
      </w:r>
      <w:r w:rsidRPr="00C4755C">
        <w:rPr>
          <w:rFonts w:eastAsia="Calibri" w:cs="Times New Roman"/>
          <w:szCs w:val="24"/>
          <w:lang w:eastAsia="en-US"/>
        </w:rPr>
        <w:t>, co zapewnia elastyczność w radzeniu sobie z przeterminowanymi płatnościami zarówno po stronie dłużnika</w:t>
      </w:r>
      <w:r w:rsidR="00B45A58">
        <w:rPr>
          <w:rFonts w:eastAsia="Calibri" w:cs="Times New Roman"/>
          <w:szCs w:val="24"/>
          <w:lang w:eastAsia="en-US"/>
        </w:rPr>
        <w:t>,</w:t>
      </w:r>
      <w:r w:rsidRPr="00C4755C">
        <w:rPr>
          <w:rFonts w:eastAsia="Calibri" w:cs="Times New Roman"/>
          <w:szCs w:val="24"/>
          <w:lang w:eastAsia="en-US"/>
        </w:rPr>
        <w:t xml:space="preserve"> jak i wierzyciela.</w:t>
      </w:r>
    </w:p>
    <w:p w14:paraId="6C32BC88" w14:textId="336EC73A" w:rsidR="00942157" w:rsidRPr="00C4755C" w:rsidRDefault="00C56B90" w:rsidP="008A4755">
      <w:pPr>
        <w:spacing w:before="240"/>
        <w:jc w:val="both"/>
        <w:rPr>
          <w:rFonts w:cs="Times New Roman"/>
          <w:b/>
          <w:szCs w:val="24"/>
        </w:rPr>
      </w:pPr>
      <w:r w:rsidRPr="00C4755C">
        <w:rPr>
          <w:rFonts w:cs="Times New Roman"/>
          <w:b/>
          <w:szCs w:val="24"/>
        </w:rPr>
        <w:t>4</w:t>
      </w:r>
      <w:r w:rsidR="00390C72" w:rsidRPr="00C4755C">
        <w:rPr>
          <w:rFonts w:cs="Times New Roman"/>
          <w:b/>
          <w:szCs w:val="24"/>
        </w:rPr>
        <w:t xml:space="preserve">. </w:t>
      </w:r>
      <w:r w:rsidR="00942157" w:rsidRPr="00C4755C">
        <w:rPr>
          <w:rFonts w:cs="Times New Roman"/>
          <w:b/>
          <w:szCs w:val="24"/>
        </w:rPr>
        <w:t xml:space="preserve">Zmiany w ustawie </w:t>
      </w:r>
      <w:r w:rsidR="000B4B17" w:rsidRPr="00C4755C">
        <w:rPr>
          <w:rFonts w:cs="Times New Roman"/>
          <w:b/>
          <w:szCs w:val="24"/>
        </w:rPr>
        <w:t>o zwalczaniu nieuczciwej konkurencji</w:t>
      </w:r>
      <w:r w:rsidR="00822591" w:rsidRPr="00C4755C">
        <w:rPr>
          <w:rStyle w:val="Odwoanieprzypisudolnego"/>
          <w:b/>
          <w:szCs w:val="24"/>
        </w:rPr>
        <w:footnoteReference w:id="13"/>
      </w:r>
      <w:r w:rsidR="00F05B61" w:rsidRPr="00C4755C">
        <w:rPr>
          <w:rFonts w:cs="Times New Roman"/>
          <w:b/>
          <w:szCs w:val="24"/>
          <w:vertAlign w:val="superscript"/>
        </w:rPr>
        <w:t>)</w:t>
      </w:r>
      <w:r w:rsidR="000B4B17" w:rsidRPr="00C4755C">
        <w:rPr>
          <w:rFonts w:cs="Times New Roman"/>
          <w:b/>
          <w:szCs w:val="24"/>
        </w:rPr>
        <w:t xml:space="preserve"> (art. </w:t>
      </w:r>
      <w:r w:rsidRPr="00C4755C">
        <w:rPr>
          <w:rFonts w:cs="Times New Roman"/>
          <w:b/>
          <w:szCs w:val="24"/>
        </w:rPr>
        <w:t>4</w:t>
      </w:r>
      <w:r w:rsidR="000B4B17" w:rsidRPr="00C4755C">
        <w:rPr>
          <w:rFonts w:cs="Times New Roman"/>
          <w:b/>
          <w:szCs w:val="24"/>
        </w:rPr>
        <w:t>)</w:t>
      </w:r>
      <w:r w:rsidR="00CD35BD" w:rsidRPr="00C4755C">
        <w:rPr>
          <w:rFonts w:cs="Times New Roman"/>
          <w:b/>
          <w:szCs w:val="24"/>
        </w:rPr>
        <w:t xml:space="preserve"> </w:t>
      </w:r>
      <w:r w:rsidR="00AB36AB" w:rsidRPr="00C4755C">
        <w:rPr>
          <w:rFonts w:cs="Times New Roman"/>
          <w:b/>
          <w:szCs w:val="24"/>
        </w:rPr>
        <w:t>oraz</w:t>
      </w:r>
      <w:r w:rsidR="00942157" w:rsidRPr="00C4755C">
        <w:rPr>
          <w:rFonts w:cs="Times New Roman"/>
          <w:b/>
          <w:szCs w:val="24"/>
        </w:rPr>
        <w:t xml:space="preserve"> </w:t>
      </w:r>
      <w:r w:rsidR="00576BF0" w:rsidRPr="00C4755C">
        <w:rPr>
          <w:rFonts w:cs="Times New Roman"/>
          <w:b/>
          <w:szCs w:val="24"/>
        </w:rPr>
        <w:t xml:space="preserve">w </w:t>
      </w:r>
      <w:r w:rsidR="00942157" w:rsidRPr="00C4755C">
        <w:rPr>
          <w:rFonts w:cs="Times New Roman"/>
          <w:b/>
          <w:szCs w:val="24"/>
        </w:rPr>
        <w:t>ustawie o</w:t>
      </w:r>
      <w:r w:rsidR="00C4755C">
        <w:rPr>
          <w:rFonts w:cs="Times New Roman"/>
          <w:b/>
          <w:szCs w:val="24"/>
        </w:rPr>
        <w:t xml:space="preserve"> </w:t>
      </w:r>
      <w:r w:rsidR="00942157" w:rsidRPr="00C4755C">
        <w:rPr>
          <w:rFonts w:cs="Times New Roman"/>
          <w:b/>
          <w:szCs w:val="24"/>
        </w:rPr>
        <w:t>przeciwdziałaniu nieuczciwemu wykorz</w:t>
      </w:r>
      <w:r w:rsidR="00FD6A87" w:rsidRPr="00C4755C">
        <w:rPr>
          <w:rFonts w:cs="Times New Roman"/>
          <w:b/>
          <w:szCs w:val="24"/>
        </w:rPr>
        <w:t xml:space="preserve">ystywaniu przewagi kontraktowej </w:t>
      </w:r>
      <w:r w:rsidR="00942157" w:rsidRPr="00C4755C">
        <w:rPr>
          <w:rFonts w:cs="Times New Roman"/>
          <w:b/>
          <w:szCs w:val="24"/>
        </w:rPr>
        <w:t>w</w:t>
      </w:r>
      <w:r w:rsidR="00FD6A87" w:rsidRPr="00C4755C">
        <w:rPr>
          <w:rFonts w:cs="Times New Roman"/>
          <w:b/>
          <w:szCs w:val="24"/>
        </w:rPr>
        <w:t xml:space="preserve"> </w:t>
      </w:r>
      <w:r w:rsidR="00942157" w:rsidRPr="00C4755C">
        <w:rPr>
          <w:rFonts w:cs="Times New Roman"/>
          <w:b/>
          <w:szCs w:val="24"/>
        </w:rPr>
        <w:t>obrocie produktami rolnymi i</w:t>
      </w:r>
      <w:r w:rsidR="00584C51" w:rsidRPr="00C4755C">
        <w:rPr>
          <w:rFonts w:cs="Times New Roman"/>
          <w:b/>
          <w:szCs w:val="24"/>
        </w:rPr>
        <w:t xml:space="preserve"> </w:t>
      </w:r>
      <w:r w:rsidR="00942157" w:rsidRPr="00C4755C">
        <w:rPr>
          <w:rFonts w:cs="Times New Roman"/>
          <w:b/>
          <w:szCs w:val="24"/>
        </w:rPr>
        <w:t>spożywczymi</w:t>
      </w:r>
      <w:r w:rsidR="00822591" w:rsidRPr="00C4755C">
        <w:rPr>
          <w:rStyle w:val="Odwoanieprzypisudolnego"/>
          <w:b/>
          <w:szCs w:val="24"/>
        </w:rPr>
        <w:footnoteReference w:id="14"/>
      </w:r>
      <w:r w:rsidR="00F05B61" w:rsidRPr="00C4755C">
        <w:rPr>
          <w:rFonts w:cs="Times New Roman"/>
          <w:szCs w:val="24"/>
          <w:vertAlign w:val="superscript"/>
        </w:rPr>
        <w:t>)</w:t>
      </w:r>
      <w:r w:rsidR="00942157" w:rsidRPr="00C4755C">
        <w:rPr>
          <w:rFonts w:cs="Times New Roman"/>
          <w:b/>
          <w:szCs w:val="24"/>
        </w:rPr>
        <w:t xml:space="preserve"> (art. </w:t>
      </w:r>
      <w:r w:rsidR="00576BF0" w:rsidRPr="00C4755C">
        <w:rPr>
          <w:rFonts w:cs="Times New Roman"/>
          <w:b/>
          <w:szCs w:val="24"/>
        </w:rPr>
        <w:t>1</w:t>
      </w:r>
      <w:r w:rsidR="00725E0E" w:rsidRPr="00C4755C">
        <w:rPr>
          <w:rFonts w:cs="Times New Roman"/>
          <w:b/>
          <w:szCs w:val="24"/>
        </w:rPr>
        <w:t>2</w:t>
      </w:r>
      <w:r w:rsidR="00942157" w:rsidRPr="00C4755C">
        <w:rPr>
          <w:rFonts w:cs="Times New Roman"/>
          <w:b/>
          <w:szCs w:val="24"/>
        </w:rPr>
        <w:t>)</w:t>
      </w:r>
    </w:p>
    <w:p w14:paraId="5846CFFB" w14:textId="018B84C1" w:rsidR="00F527B5" w:rsidRPr="00C4755C" w:rsidRDefault="00607F2B"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ustawie z</w:t>
      </w:r>
      <w:r w:rsidR="0054687D" w:rsidRPr="00C4755C">
        <w:rPr>
          <w:rFonts w:ascii="Times New Roman" w:hAnsi="Times New Roman" w:cs="Times New Roman"/>
          <w:szCs w:val="24"/>
        </w:rPr>
        <w:t>aproponowano uzupełnienie katalogu czynów nieuczciwej konkurencji o</w:t>
      </w:r>
      <w:r w:rsidR="00C4755C">
        <w:rPr>
          <w:rFonts w:ascii="Times New Roman" w:hAnsi="Times New Roman" w:cs="Times New Roman"/>
          <w:szCs w:val="24"/>
        </w:rPr>
        <w:t xml:space="preserve"> </w:t>
      </w:r>
      <w:r w:rsidR="0054687D" w:rsidRPr="00C4755C">
        <w:rPr>
          <w:rFonts w:ascii="Times New Roman" w:hAnsi="Times New Roman" w:cs="Times New Roman"/>
          <w:szCs w:val="24"/>
        </w:rPr>
        <w:t xml:space="preserve">działanie polegające na „nieuzasadnionym wydłużaniu terminów zapłaty za dostarczone </w:t>
      </w:r>
      <w:r w:rsidR="003B4624" w:rsidRPr="00C4755C">
        <w:rPr>
          <w:rFonts w:ascii="Times New Roman" w:hAnsi="Times New Roman" w:cs="Times New Roman"/>
          <w:szCs w:val="24"/>
        </w:rPr>
        <w:t xml:space="preserve">towary </w:t>
      </w:r>
      <w:r w:rsidR="0054687D" w:rsidRPr="00C4755C">
        <w:rPr>
          <w:rFonts w:ascii="Times New Roman" w:hAnsi="Times New Roman" w:cs="Times New Roman"/>
          <w:szCs w:val="24"/>
        </w:rPr>
        <w:t>lub wykonane usługi</w:t>
      </w:r>
      <w:r w:rsidR="00396E9E">
        <w:rPr>
          <w:rFonts w:ascii="Times New Roman" w:hAnsi="Times New Roman" w:cs="Times New Roman"/>
          <w:szCs w:val="24"/>
        </w:rPr>
        <w:t>”</w:t>
      </w:r>
      <w:r w:rsidR="0054687D" w:rsidRPr="00C4755C">
        <w:rPr>
          <w:rFonts w:ascii="Times New Roman" w:hAnsi="Times New Roman" w:cs="Times New Roman"/>
          <w:szCs w:val="24"/>
        </w:rPr>
        <w:t xml:space="preserve"> (zmiana brzmienia art. 3 ust</w:t>
      </w:r>
      <w:r w:rsidR="00AC14A9">
        <w:rPr>
          <w:rFonts w:ascii="Times New Roman" w:hAnsi="Times New Roman" w:cs="Times New Roman"/>
          <w:szCs w:val="24"/>
        </w:rPr>
        <w:t>.</w:t>
      </w:r>
      <w:r w:rsidR="0054687D" w:rsidRPr="00C4755C">
        <w:rPr>
          <w:rFonts w:ascii="Times New Roman" w:hAnsi="Times New Roman" w:cs="Times New Roman"/>
          <w:szCs w:val="24"/>
        </w:rPr>
        <w:t xml:space="preserve"> 2 oraz dodany art. 17g w</w:t>
      </w:r>
      <w:r w:rsidR="00170DEB" w:rsidRPr="00C4755C">
        <w:rPr>
          <w:rFonts w:ascii="Times New Roman" w:hAnsi="Times New Roman" w:cs="Times New Roman"/>
          <w:szCs w:val="24"/>
        </w:rPr>
        <w:t xml:space="preserve"> </w:t>
      </w:r>
      <w:r w:rsidR="0054687D" w:rsidRPr="00C4755C">
        <w:rPr>
          <w:rFonts w:ascii="Times New Roman" w:hAnsi="Times New Roman" w:cs="Times New Roman"/>
          <w:szCs w:val="24"/>
        </w:rPr>
        <w:t xml:space="preserve">ustawie o zwalczaniu nieuczciwej konkurencji). </w:t>
      </w:r>
      <w:r w:rsidR="009B7429" w:rsidRPr="00C4755C">
        <w:rPr>
          <w:rFonts w:ascii="Times New Roman" w:hAnsi="Times New Roman" w:cs="Times New Roman"/>
          <w:szCs w:val="24"/>
        </w:rPr>
        <w:t>W projekcie wskazano, że nieuzasadnione wydłużanie terminów zapłaty za dostarczane pr</w:t>
      </w:r>
      <w:r w:rsidR="00F3246B" w:rsidRPr="00C4755C">
        <w:rPr>
          <w:rFonts w:ascii="Times New Roman" w:hAnsi="Times New Roman" w:cs="Times New Roman"/>
          <w:szCs w:val="24"/>
        </w:rPr>
        <w:t>odukty lub wykonane usługi to w</w:t>
      </w:r>
      <w:r w:rsidR="00C4755C">
        <w:rPr>
          <w:rFonts w:ascii="Times New Roman" w:hAnsi="Times New Roman" w:cs="Times New Roman"/>
          <w:szCs w:val="24"/>
        </w:rPr>
        <w:t xml:space="preserve"> </w:t>
      </w:r>
      <w:r w:rsidR="009B7429" w:rsidRPr="00C4755C">
        <w:rPr>
          <w:rFonts w:ascii="Times New Roman" w:hAnsi="Times New Roman" w:cs="Times New Roman"/>
          <w:szCs w:val="24"/>
        </w:rPr>
        <w:t xml:space="preserve">szczególności </w:t>
      </w:r>
      <w:r w:rsidR="00E9192E" w:rsidRPr="00C4755C">
        <w:rPr>
          <w:rFonts w:ascii="Times New Roman" w:hAnsi="Times New Roman" w:cs="Times New Roman"/>
          <w:szCs w:val="24"/>
        </w:rPr>
        <w:t xml:space="preserve">zapłata lub </w:t>
      </w:r>
      <w:r w:rsidR="009B7429" w:rsidRPr="00C4755C">
        <w:rPr>
          <w:rFonts w:ascii="Times New Roman" w:hAnsi="Times New Roman" w:cs="Times New Roman"/>
          <w:szCs w:val="24"/>
        </w:rPr>
        <w:t xml:space="preserve">ustalanie terminów zapłaty z naruszeniem przepisów ustawy </w:t>
      </w:r>
      <w:r w:rsidR="007D13EE" w:rsidRPr="00C4755C">
        <w:rPr>
          <w:rFonts w:ascii="Times New Roman" w:hAnsi="Times New Roman" w:cs="Times New Roman"/>
          <w:szCs w:val="24"/>
        </w:rPr>
        <w:t>o</w:t>
      </w:r>
      <w:r w:rsidR="00C4755C">
        <w:rPr>
          <w:rFonts w:ascii="Times New Roman" w:hAnsi="Times New Roman" w:cs="Times New Roman"/>
          <w:szCs w:val="24"/>
        </w:rPr>
        <w:t xml:space="preserve"> </w:t>
      </w:r>
      <w:r w:rsidR="00901B7F" w:rsidRPr="00C4755C">
        <w:rPr>
          <w:rFonts w:ascii="Times New Roman" w:hAnsi="Times New Roman" w:cs="Times New Roman"/>
          <w:szCs w:val="24"/>
        </w:rPr>
        <w:t>przeciwdziałaniu nadmiernym opóźnieniom w transakcjach handlowych</w:t>
      </w:r>
      <w:r w:rsidR="007D13EE" w:rsidRPr="00C4755C">
        <w:rPr>
          <w:rFonts w:ascii="Times New Roman" w:hAnsi="Times New Roman" w:cs="Times New Roman"/>
          <w:szCs w:val="24"/>
        </w:rPr>
        <w:t>, z rażącym odstępstwem od dobrych praktyk handlowych, bez dostosowania do harmonogramu dostaw lub harmonogramu wykonania usługi, bez uwzględnienia właściwości towaru lub usługi. Dodatkowo</w:t>
      </w:r>
      <w:r w:rsidR="00F527B5" w:rsidRPr="00C4755C">
        <w:rPr>
          <w:rFonts w:ascii="Times New Roman" w:hAnsi="Times New Roman" w:cs="Times New Roman"/>
          <w:szCs w:val="24"/>
        </w:rPr>
        <w:t xml:space="preserve"> przy ocenie, czy dany czyn</w:t>
      </w:r>
      <w:r w:rsidR="0073739D" w:rsidRPr="00C4755C">
        <w:rPr>
          <w:rFonts w:ascii="Times New Roman" w:hAnsi="Times New Roman" w:cs="Times New Roman"/>
          <w:szCs w:val="24"/>
        </w:rPr>
        <w:t xml:space="preserve"> </w:t>
      </w:r>
      <w:r w:rsidR="00F527B5" w:rsidRPr="00C4755C">
        <w:rPr>
          <w:rFonts w:ascii="Times New Roman" w:hAnsi="Times New Roman" w:cs="Times New Roman"/>
          <w:szCs w:val="24"/>
        </w:rPr>
        <w:t>jest czynem nieuczciwej konkurencji</w:t>
      </w:r>
      <w:r w:rsidR="00396E9E">
        <w:rPr>
          <w:rFonts w:ascii="Times New Roman" w:hAnsi="Times New Roman" w:cs="Times New Roman"/>
          <w:szCs w:val="24"/>
        </w:rPr>
        <w:t>,</w:t>
      </w:r>
      <w:r w:rsidR="009B7429" w:rsidRPr="00C4755C">
        <w:rPr>
          <w:rFonts w:ascii="Times New Roman" w:hAnsi="Times New Roman" w:cs="Times New Roman"/>
          <w:szCs w:val="24"/>
        </w:rPr>
        <w:t xml:space="preserve"> zastosowanie będzie </w:t>
      </w:r>
      <w:r w:rsidR="00F527B5" w:rsidRPr="00C4755C">
        <w:rPr>
          <w:rFonts w:ascii="Times New Roman" w:hAnsi="Times New Roman" w:cs="Times New Roman"/>
          <w:szCs w:val="24"/>
        </w:rPr>
        <w:t>miała klauzula generalna</w:t>
      </w:r>
      <w:r w:rsidR="009B7429" w:rsidRPr="00C4755C">
        <w:rPr>
          <w:rFonts w:ascii="Times New Roman" w:hAnsi="Times New Roman" w:cs="Times New Roman"/>
          <w:szCs w:val="24"/>
        </w:rPr>
        <w:t xml:space="preserve"> z art. 3 ust. 1</w:t>
      </w:r>
      <w:r w:rsidR="00F527B5" w:rsidRPr="00C4755C">
        <w:rPr>
          <w:rFonts w:ascii="Times New Roman" w:hAnsi="Times New Roman" w:cs="Times New Roman"/>
          <w:szCs w:val="24"/>
        </w:rPr>
        <w:t xml:space="preserve"> – sprzeczność z prawem lub dobrymi obyczajami, zagrożenie lub naruszenie interesu innego przedsiębiorcy lub klienta.</w:t>
      </w:r>
    </w:p>
    <w:p w14:paraId="1A94BF1F" w14:textId="2E51584D" w:rsidR="0086340F" w:rsidRPr="00C4755C" w:rsidRDefault="0054687D"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Odpowiedzialność za taki czyn zabroniony miałaby charakter prywatnoprawny, czyli wymagałaby aktywności pokrzywdzonego wierzyciela. Mógłby on skorzystać z </w:t>
      </w:r>
      <w:r w:rsidRPr="00C4755C">
        <w:rPr>
          <w:rFonts w:ascii="Times New Roman" w:hAnsi="Times New Roman" w:cs="Times New Roman"/>
          <w:szCs w:val="24"/>
        </w:rPr>
        <w:lastRenderedPageBreak/>
        <w:t>uprawnień przewidzianych w art. 18 ustawy o zwalczaniu nieuczciwej konkurencji, w szczególności z</w:t>
      </w:r>
      <w:r w:rsidR="00C4755C">
        <w:rPr>
          <w:rFonts w:ascii="Times New Roman" w:hAnsi="Times New Roman" w:cs="Times New Roman"/>
          <w:szCs w:val="24"/>
        </w:rPr>
        <w:t xml:space="preserve"> </w:t>
      </w:r>
      <w:r w:rsidRPr="00C4755C">
        <w:rPr>
          <w:rFonts w:ascii="Times New Roman" w:hAnsi="Times New Roman" w:cs="Times New Roman"/>
          <w:szCs w:val="24"/>
        </w:rPr>
        <w:t>roszczenia o</w:t>
      </w:r>
      <w:r w:rsidR="00584C51" w:rsidRPr="00C4755C">
        <w:rPr>
          <w:rFonts w:ascii="Times New Roman" w:hAnsi="Times New Roman" w:cs="Times New Roman"/>
          <w:szCs w:val="24"/>
        </w:rPr>
        <w:t xml:space="preserve"> </w:t>
      </w:r>
      <w:r w:rsidRPr="00C4755C">
        <w:rPr>
          <w:rFonts w:ascii="Times New Roman" w:hAnsi="Times New Roman" w:cs="Times New Roman"/>
          <w:szCs w:val="24"/>
        </w:rPr>
        <w:t>odszkodowanie lub o zwrot bezpodstawnie uzyskanych korzyści.</w:t>
      </w:r>
      <w:r w:rsidR="0086340F" w:rsidRPr="00C4755C">
        <w:rPr>
          <w:rFonts w:ascii="Times New Roman" w:hAnsi="Times New Roman" w:cs="Times New Roman"/>
          <w:szCs w:val="24"/>
        </w:rPr>
        <w:t xml:space="preserve"> Wierzycielowi przysługiwałoby również roszczenie zaniechania niedozwolonych działań polegających na nieuzasadnionym wydłużaniu terminów zapłaty za dostarczone towary lub wykonane usługi bez względu na to, czy w rzeczywistości takie działanie miało negatywne konsekwencje dla wierzyciela. Na gruncie ustawy o zwalczaniu nieuczciwej konkurencji wierzyciel będzie mógł również wystąpić do dłużnika o usunięcie skutków niedozwolonych działań.</w:t>
      </w:r>
    </w:p>
    <w:p w14:paraId="11273C2B" w14:textId="3D639CA2" w:rsidR="00942157" w:rsidRPr="00C4755C" w:rsidRDefault="00942157"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w:t>
      </w:r>
      <w:r w:rsidR="00170DEB" w:rsidRPr="00C4755C">
        <w:rPr>
          <w:rFonts w:ascii="Times New Roman" w:hAnsi="Times New Roman" w:cs="Times New Roman"/>
          <w:szCs w:val="24"/>
        </w:rPr>
        <w:t xml:space="preserve"> </w:t>
      </w:r>
      <w:r w:rsidRPr="00C4755C">
        <w:rPr>
          <w:rFonts w:ascii="Times New Roman" w:hAnsi="Times New Roman" w:cs="Times New Roman"/>
          <w:szCs w:val="24"/>
        </w:rPr>
        <w:t>obowiązującym przepisie art. 7 ustawy o przeciwdziałaniu nieuczciwemu wykorzystywaniu przewagi kontraktowej w obrocie produktami rolnymi i spożywczymi, za nieuczciwe wykorzystywanie przewagi kontraktowej zostało uznane „nieuzasadnione wydłużanie terminów płatności za dostarczone produkty rolne lub spożywcze”. W celu zwiększenia spójności polskiego systemu prawa proponuje się zmienić brzmienie tego przepisu, poprzez wskazanie w nim wprost, że dotyczy to terminów, o których mowa w</w:t>
      </w:r>
      <w:r w:rsidR="00C4755C">
        <w:rPr>
          <w:rFonts w:ascii="Times New Roman" w:hAnsi="Times New Roman" w:cs="Times New Roman"/>
          <w:szCs w:val="24"/>
        </w:rPr>
        <w:t xml:space="preserve"> </w:t>
      </w:r>
      <w:r w:rsidRPr="00C4755C">
        <w:rPr>
          <w:rFonts w:ascii="Times New Roman" w:hAnsi="Times New Roman" w:cs="Times New Roman"/>
          <w:szCs w:val="24"/>
        </w:rPr>
        <w:t xml:space="preserve">ustawie o </w:t>
      </w:r>
      <w:r w:rsidR="0033709A" w:rsidRPr="00C4755C">
        <w:rPr>
          <w:rFonts w:ascii="Times New Roman" w:hAnsi="Times New Roman" w:cs="Times New Roman"/>
          <w:szCs w:val="24"/>
        </w:rPr>
        <w:t>przeciwdziałaniu nadmiernym opóźnieniom w transakcjach handlowych</w:t>
      </w:r>
      <w:r w:rsidR="00EF6E97" w:rsidRPr="00C4755C">
        <w:rPr>
          <w:rFonts w:ascii="Times New Roman" w:hAnsi="Times New Roman" w:cs="Times New Roman"/>
          <w:szCs w:val="24"/>
        </w:rPr>
        <w:t>.</w:t>
      </w:r>
    </w:p>
    <w:p w14:paraId="4663FB98" w14:textId="67C61C9F" w:rsidR="00160CBC" w:rsidRPr="00C4755C" w:rsidRDefault="00942157"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Naprawienie szkody z powyższych tytułów na drodze prywatnoprawnej będzie mogło następować w trybie ustawy z dnia 21 kwietnia 2017 r. o roszczeniach o naprawienie szkody wyrządzonej przez naruszenie prawa konkurencji</w:t>
      </w:r>
      <w:r w:rsidRPr="00C4755C">
        <w:rPr>
          <w:rStyle w:val="Odwoanieprzypisudolnego"/>
          <w:rFonts w:ascii="Times New Roman" w:hAnsi="Times New Roman"/>
          <w:szCs w:val="24"/>
        </w:rPr>
        <w:footnoteReference w:id="15"/>
      </w:r>
      <w:r w:rsidR="00312E96" w:rsidRPr="00C4755C">
        <w:rPr>
          <w:rFonts w:ascii="Times New Roman" w:hAnsi="Times New Roman" w:cs="Times New Roman"/>
          <w:szCs w:val="24"/>
          <w:vertAlign w:val="superscript"/>
        </w:rPr>
        <w:t>)</w:t>
      </w:r>
      <w:r w:rsidR="00AE488B" w:rsidRPr="00C4755C">
        <w:rPr>
          <w:rFonts w:ascii="Times New Roman" w:hAnsi="Times New Roman" w:cs="Times New Roman"/>
          <w:szCs w:val="24"/>
        </w:rPr>
        <w:t>.</w:t>
      </w:r>
    </w:p>
    <w:p w14:paraId="40D8E0CB" w14:textId="3BDDD9F5" w:rsidR="000F7ED3" w:rsidRPr="00C4755C" w:rsidRDefault="000F7ED3" w:rsidP="008A4755">
      <w:pPr>
        <w:spacing w:before="240"/>
        <w:jc w:val="both"/>
        <w:rPr>
          <w:rFonts w:cs="Times New Roman"/>
          <w:b/>
          <w:szCs w:val="24"/>
        </w:rPr>
      </w:pPr>
      <w:r w:rsidRPr="00C4755C">
        <w:rPr>
          <w:rFonts w:cs="Times New Roman"/>
          <w:b/>
          <w:szCs w:val="24"/>
        </w:rPr>
        <w:t>5. Zmiany w ustawie – Ordynacja podatkowa</w:t>
      </w:r>
      <w:r w:rsidRPr="00C4755C">
        <w:rPr>
          <w:rStyle w:val="Odwoanieprzypisudolnego"/>
          <w:b/>
          <w:szCs w:val="24"/>
        </w:rPr>
        <w:footnoteReference w:id="16"/>
      </w:r>
      <w:r w:rsidR="00312E96" w:rsidRPr="00C4755C">
        <w:rPr>
          <w:rFonts w:cs="Times New Roman"/>
          <w:szCs w:val="24"/>
          <w:vertAlign w:val="superscript"/>
        </w:rPr>
        <w:t>)</w:t>
      </w:r>
      <w:r w:rsidRPr="00C4755C">
        <w:rPr>
          <w:rFonts w:cs="Times New Roman"/>
          <w:b/>
          <w:szCs w:val="24"/>
        </w:rPr>
        <w:t xml:space="preserve"> (art. 5 projektu)</w:t>
      </w:r>
    </w:p>
    <w:p w14:paraId="2DE79640" w14:textId="264E7159" w:rsidR="00D81DFA" w:rsidRPr="00C4755C" w:rsidRDefault="00D81DFA" w:rsidP="00C4755C">
      <w:pPr>
        <w:spacing w:before="120"/>
        <w:jc w:val="both"/>
        <w:rPr>
          <w:rFonts w:cs="Times New Roman"/>
          <w:szCs w:val="24"/>
        </w:rPr>
      </w:pPr>
      <w:r w:rsidRPr="00C4755C">
        <w:rPr>
          <w:rFonts w:cs="Times New Roman"/>
          <w:szCs w:val="24"/>
        </w:rPr>
        <w:t xml:space="preserve">Na podstawie projektowanego art. 299f § 1 Ordynacji podatkowej Szef KAS będzie przekazywał </w:t>
      </w:r>
      <w:r w:rsidR="002B36D0" w:rsidRPr="00C4755C">
        <w:rPr>
          <w:rFonts w:cs="Times New Roman"/>
          <w:szCs w:val="24"/>
        </w:rPr>
        <w:t xml:space="preserve">Prezesowi Urzędu Ochrony Konkurencji i Konsumentów </w:t>
      </w:r>
      <w:r w:rsidRPr="00C4755C">
        <w:rPr>
          <w:rFonts w:cs="Times New Roman"/>
          <w:szCs w:val="24"/>
        </w:rPr>
        <w:t>informacje, w tym zawierające dane stanowiące tajemnicę skarbową, bankową lub zawodową, o ustaleniu prawdopodobieństwa wystąpienia opóźnień w spełnianiu przez podmiot obowiązany do złożenia informacji, o których mowa w art. 82 § 1b</w:t>
      </w:r>
      <w:r w:rsidR="00AE70F2" w:rsidRPr="00C4755C">
        <w:rPr>
          <w:rFonts w:cs="Times New Roman"/>
          <w:szCs w:val="24"/>
        </w:rPr>
        <w:t xml:space="preserve"> Ordynacji podatkowej</w:t>
      </w:r>
      <w:r w:rsidRPr="00C4755C">
        <w:rPr>
          <w:rFonts w:cs="Times New Roman"/>
          <w:szCs w:val="24"/>
        </w:rPr>
        <w:t xml:space="preserve">, świadczeń pieniężnych w rozumieniu art. 4 pkt 1a ustawy z dnia 8 marca 2013 r. o przeciwdziałaniu nadmiernym opóźnieniom w transakcjach handlowych. Informacje będą przygotowane w oparciu o faktury otrzymane w okresie 12 miesięcy poprzedzających miesiąc, za który to prawdopodobieństwo zostało ustalone. Informacje będą zawierały dane identyfikujące podmiot, dane dotyczące faktur zapłaconych po terminie oraz dodatkowe dane, jeżeli </w:t>
      </w:r>
      <w:r w:rsidRPr="00C4755C">
        <w:rPr>
          <w:rFonts w:cs="Times New Roman"/>
          <w:szCs w:val="24"/>
        </w:rPr>
        <w:lastRenderedPageBreak/>
        <w:t>mogą one wpłynąć na zwiększenie skuteczności analizy prawdopodobieństwa. Informacja ma obejmować także dane wynikające z informacji, o których mowa w art. 82 § 1b Ordynacji podatkowej (JPK_VAT), oraz dane wynikające z informacji i zestawień, o których mowa w art. 119zq Ordynacji podatkowej (STIR), dotyczące faktur zapłaconych po terminie 60 dni od dnia ich otrzymania. Oznacza to, że będzie ona zawierać informacje takie jak</w:t>
      </w:r>
      <w:r w:rsidR="00C74C5E">
        <w:rPr>
          <w:rFonts w:cs="Times New Roman"/>
          <w:szCs w:val="24"/>
        </w:rPr>
        <w:t>:</w:t>
      </w:r>
      <w:r w:rsidRPr="00C4755C">
        <w:rPr>
          <w:rFonts w:cs="Times New Roman"/>
          <w:szCs w:val="24"/>
        </w:rPr>
        <w:t xml:space="preserve"> dane kontrahenta, datę wystawienia faktury oraz jej kwotę, a także informacje o terminie faktycznego zapłacenia danej faktury. Ponadto informacja o ustaleniu prawdopodobieństwa wystąpienia opóźnień może również obejmować dodatkowe dane, takie jak zagregowane kwoty faktur wystawionych przez określonych kontrahentów czy stosunek faktur opóźnionych do całości, które mogą wpłynąć na zwiększenie skuteczności analizy prawdopodobieństwa prowadzonej przez Prezesa UOKiK. W art. 299f § 2 Ordynacji podatkowej przyjęto, że prawdopodobieństwo wystąpienia opóźnień występuje, jeżeli suma wartości świadczeń pieniężnych niezapłaconych przez dany podmiot w terminie 60 dni od dnia otrzymania faktury wynosi w okresie kolejny</w:t>
      </w:r>
      <w:r w:rsidR="00DB59D8">
        <w:rPr>
          <w:rFonts w:cs="Times New Roman"/>
          <w:szCs w:val="24"/>
        </w:rPr>
        <w:t>ch 3 miesięcy co najmniej 2 000 </w:t>
      </w:r>
      <w:r w:rsidRPr="00C4755C">
        <w:rPr>
          <w:rFonts w:cs="Times New Roman"/>
          <w:szCs w:val="24"/>
        </w:rPr>
        <w:t xml:space="preserve">000 złotych. Informacje określone w art. 299f § 7 Ordynacji podatkowej będą mogły być przekazane na wniosek Prezesa UOKiK. </w:t>
      </w:r>
    </w:p>
    <w:p w14:paraId="287BD10B" w14:textId="50338606" w:rsidR="00D81DFA" w:rsidRPr="00C4755C" w:rsidRDefault="00D81DFA" w:rsidP="00C4755C">
      <w:pPr>
        <w:spacing w:before="120"/>
        <w:jc w:val="both"/>
        <w:rPr>
          <w:rFonts w:cs="Times New Roman"/>
          <w:szCs w:val="24"/>
        </w:rPr>
      </w:pPr>
      <w:r w:rsidRPr="00C4755C">
        <w:rPr>
          <w:rFonts w:cs="Times New Roman"/>
          <w:szCs w:val="24"/>
        </w:rPr>
        <w:t>Termin przekazywania informacji o ustaleniu prawdopodobieństwa wystąpienia opóźnień określa § 6</w:t>
      </w:r>
      <w:r w:rsidR="00CF6012" w:rsidRPr="00C4755C">
        <w:rPr>
          <w:rFonts w:cs="Times New Roman"/>
          <w:szCs w:val="24"/>
        </w:rPr>
        <w:t xml:space="preserve"> w art. 299f</w:t>
      </w:r>
      <w:r w:rsidR="00F35BF4" w:rsidRPr="00C4755C">
        <w:rPr>
          <w:rFonts w:cs="Times New Roman"/>
          <w:szCs w:val="24"/>
        </w:rPr>
        <w:t xml:space="preserve"> Ordynacji podatkowej</w:t>
      </w:r>
      <w:r w:rsidRPr="00C4755C">
        <w:rPr>
          <w:rFonts w:cs="Times New Roman"/>
          <w:szCs w:val="24"/>
        </w:rPr>
        <w:t>. Przyjęto, że przekazanie informacji o ustaleniu prawdopodobieństwa wystąpienia opóźnienia za dany miesiąc będzie możliwe do 20. dnia drugiego miesiąca następującego po miesiącu, za który ustalono to prawdopodobieństwo. Przykładowo informacja o prawdopodobieństwie opóźnień, które wystąpiły w styczniu, powinna zostać przekazana do 20. marca danego roku. Okres ten został ustalony w oparciu o terminy, w jakich podmioty są obowiązane do przekazywania informacji organom KAS, a także czas potrzebny na ustalenie prawdopodobieństwa wystąpienia opóźnień na podstawie posiadanych danych.</w:t>
      </w:r>
    </w:p>
    <w:p w14:paraId="310F6AE3" w14:textId="77777777" w:rsidR="00D81DFA" w:rsidRPr="00C4755C" w:rsidRDefault="00D81DFA" w:rsidP="00C4755C">
      <w:pPr>
        <w:spacing w:before="120"/>
        <w:jc w:val="both"/>
        <w:rPr>
          <w:rFonts w:cs="Times New Roman"/>
          <w:szCs w:val="24"/>
        </w:rPr>
      </w:pPr>
      <w:r w:rsidRPr="00C4755C">
        <w:rPr>
          <w:rFonts w:cs="Times New Roman"/>
          <w:szCs w:val="24"/>
        </w:rPr>
        <w:t>Sposób przekazywania informacji określi porozumienie zawarte pomiędzy Szefem Krajowej Administracji Skarbowej a Prezesem Urzędu Ochrony Konkurencji i Konsumentów.</w:t>
      </w:r>
    </w:p>
    <w:p w14:paraId="6CCE3DBD" w14:textId="5C737081" w:rsidR="00D81DFA" w:rsidRPr="00C4755C" w:rsidRDefault="00D81DF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Indywidualne informacje i dane gromadzone w systemach informatycznych Szefa Krajowej Administracji Skarbowej (także przesyłane w ramach JPK-VAT oraz poprzez system STIR) podlegają szczególnej ochronie tajemnicą skarbową (art. 293 Ordynacji </w:t>
      </w:r>
      <w:r w:rsidRPr="00C4755C">
        <w:rPr>
          <w:rFonts w:ascii="Times New Roman" w:hAnsi="Times New Roman" w:cs="Times New Roman"/>
          <w:szCs w:val="24"/>
        </w:rPr>
        <w:lastRenderedPageBreak/>
        <w:t>podatkowej). W ramach nowelizacji dodano do katalogu informacji objętych tajemnicą skarbową informacje o ustaleniu prawdopodobieństwa wystąpienia opóźnień w transakcjach handlowych (art. 293 § 2 pkt 11 Ordynacji podatkowej). Ujawnienie informacji objętych tajemnicą skarbową jest penalizowane karą pozbawienia wolności (art. 306 Ordynacji podatkowej).</w:t>
      </w:r>
    </w:p>
    <w:p w14:paraId="2DD4DD72" w14:textId="2A5F1B9B" w:rsidR="00087D95" w:rsidRPr="00C4755C" w:rsidRDefault="000F7ED3" w:rsidP="008A4755">
      <w:pPr>
        <w:pStyle w:val="ZLITUSTzmustliter"/>
        <w:spacing w:before="240"/>
        <w:ind w:left="0" w:firstLine="0"/>
        <w:rPr>
          <w:rFonts w:ascii="Times New Roman" w:hAnsi="Times New Roman" w:cs="Times New Roman"/>
          <w:b/>
          <w:szCs w:val="24"/>
        </w:rPr>
      </w:pPr>
      <w:r w:rsidRPr="00C4755C">
        <w:rPr>
          <w:rFonts w:ascii="Times New Roman" w:hAnsi="Times New Roman" w:cs="Times New Roman"/>
          <w:b/>
          <w:szCs w:val="24"/>
        </w:rPr>
        <w:t>6</w:t>
      </w:r>
      <w:r w:rsidR="00087D95" w:rsidRPr="00C4755C">
        <w:rPr>
          <w:rFonts w:ascii="Times New Roman" w:hAnsi="Times New Roman" w:cs="Times New Roman"/>
          <w:b/>
          <w:szCs w:val="24"/>
        </w:rPr>
        <w:t>. Zmian</w:t>
      </w:r>
      <w:r w:rsidR="00237194" w:rsidRPr="00C4755C">
        <w:rPr>
          <w:rFonts w:ascii="Times New Roman" w:hAnsi="Times New Roman" w:cs="Times New Roman"/>
          <w:b/>
          <w:szCs w:val="24"/>
        </w:rPr>
        <w:t>a w ustawie o zryczałtowanym podatku dochodowym od</w:t>
      </w:r>
      <w:r w:rsidR="00584C51" w:rsidRPr="00C4755C">
        <w:rPr>
          <w:rFonts w:ascii="Times New Roman" w:hAnsi="Times New Roman" w:cs="Times New Roman"/>
          <w:b/>
          <w:szCs w:val="24"/>
        </w:rPr>
        <w:t xml:space="preserve"> </w:t>
      </w:r>
      <w:r w:rsidR="00237194" w:rsidRPr="00C4755C">
        <w:rPr>
          <w:rFonts w:ascii="Times New Roman" w:hAnsi="Times New Roman" w:cs="Times New Roman"/>
          <w:b/>
          <w:szCs w:val="24"/>
        </w:rPr>
        <w:t>niektórych przychodów osiągan</w:t>
      </w:r>
      <w:r w:rsidR="00C56B90" w:rsidRPr="00C4755C">
        <w:rPr>
          <w:rFonts w:ascii="Times New Roman" w:hAnsi="Times New Roman" w:cs="Times New Roman"/>
          <w:b/>
          <w:szCs w:val="24"/>
        </w:rPr>
        <w:t>ych przez osoby fizyczne</w:t>
      </w:r>
      <w:r w:rsidR="00A02148" w:rsidRPr="00C4755C">
        <w:rPr>
          <w:rStyle w:val="Odwoanieprzypisudolnego"/>
          <w:rFonts w:ascii="Times New Roman" w:hAnsi="Times New Roman"/>
          <w:b/>
          <w:szCs w:val="24"/>
        </w:rPr>
        <w:footnoteReference w:id="17"/>
      </w:r>
      <w:r w:rsidR="00312E96" w:rsidRPr="00C4755C">
        <w:rPr>
          <w:rFonts w:ascii="Times New Roman" w:hAnsi="Times New Roman" w:cs="Times New Roman"/>
          <w:szCs w:val="24"/>
          <w:vertAlign w:val="superscript"/>
        </w:rPr>
        <w:t>)</w:t>
      </w:r>
      <w:r w:rsidR="0054687D" w:rsidRPr="00C4755C">
        <w:rPr>
          <w:rFonts w:ascii="Times New Roman" w:hAnsi="Times New Roman" w:cs="Times New Roman"/>
          <w:b/>
          <w:szCs w:val="24"/>
        </w:rPr>
        <w:t xml:space="preserve"> </w:t>
      </w:r>
      <w:r w:rsidR="00C56B90" w:rsidRPr="00C4755C">
        <w:rPr>
          <w:rFonts w:ascii="Times New Roman" w:hAnsi="Times New Roman" w:cs="Times New Roman"/>
          <w:b/>
          <w:szCs w:val="24"/>
        </w:rPr>
        <w:t xml:space="preserve">(art. </w:t>
      </w:r>
      <w:r w:rsidR="00F7434E" w:rsidRPr="00C4755C">
        <w:rPr>
          <w:rFonts w:ascii="Times New Roman" w:hAnsi="Times New Roman" w:cs="Times New Roman"/>
          <w:b/>
          <w:szCs w:val="24"/>
        </w:rPr>
        <w:t>7</w:t>
      </w:r>
      <w:r w:rsidR="00237194" w:rsidRPr="00C4755C">
        <w:rPr>
          <w:rFonts w:ascii="Times New Roman" w:hAnsi="Times New Roman" w:cs="Times New Roman"/>
          <w:b/>
          <w:szCs w:val="24"/>
        </w:rPr>
        <w:t xml:space="preserve"> projektu)</w:t>
      </w:r>
    </w:p>
    <w:p w14:paraId="2DE75396" w14:textId="2BE093D5" w:rsidR="00B168D3" w:rsidRPr="00C4755C" w:rsidRDefault="00B168D3" w:rsidP="00C4755C">
      <w:pPr>
        <w:spacing w:before="120"/>
        <w:jc w:val="both"/>
        <w:rPr>
          <w:rFonts w:eastAsia="Calibri" w:cs="Times New Roman"/>
          <w:bCs/>
          <w:szCs w:val="24"/>
          <w:lang w:eastAsia="en-US"/>
        </w:rPr>
      </w:pPr>
      <w:r w:rsidRPr="00C4755C">
        <w:rPr>
          <w:rFonts w:eastAsia="Calibri" w:cs="Times New Roman"/>
          <w:bCs/>
          <w:szCs w:val="24"/>
          <w:lang w:eastAsia="en-US"/>
        </w:rPr>
        <w:t xml:space="preserve">W związku z propozycją uregulowania w ustawie o podatku dochodowym od osób fizycznych problematyki tzw. złych długów, zasadnym jest przyjęcie analogicznego rozwiązania w odniesieniu do podatników opłacających ryczałt od przychodów ewidencjonowanych. Przyjęte rozwiązanie uwzględnia specyfikę opodatkowania przychodów (brak strony kosztowej). W przypadku gdy podatnik opłacający ryczałt będzie dłużnikiem zalegającym z płatnością ponad 90 dni będzie on zobowiązany do zwiększenia kwoty przychodów podlegających opodatkowaniu ryczałtem ewidencjonowanym, tak aby </w:t>
      </w:r>
      <w:r w:rsidR="006E7CFC" w:rsidRPr="00C4755C">
        <w:rPr>
          <w:rFonts w:eastAsia="Calibri" w:cs="Times New Roman"/>
          <w:bCs/>
          <w:szCs w:val="24"/>
          <w:lang w:eastAsia="en-US"/>
        </w:rPr>
        <w:t xml:space="preserve">ci </w:t>
      </w:r>
      <w:r w:rsidRPr="00C4755C">
        <w:rPr>
          <w:rFonts w:eastAsia="Calibri" w:cs="Times New Roman"/>
          <w:bCs/>
          <w:szCs w:val="24"/>
          <w:lang w:eastAsia="en-US"/>
        </w:rPr>
        <w:t xml:space="preserve">podatnicy nieregulujący swoich płatności w terminie byli również objęci nowymi rozwiązaniami. Jednakże podwyższenie podstawy opodatkowania nie będzie wliczane do progu, do którego można korzystać z ryczałtu (250 tys. EURO). Rozwiązanie takie eliminuje przypadki gdy dłużnik opłacający ryczałt </w:t>
      </w:r>
      <w:r w:rsidRPr="00C74C5E">
        <w:rPr>
          <w:rFonts w:eastAsia="Calibri" w:cs="Times New Roman"/>
          <w:bCs/>
          <w:i/>
          <w:szCs w:val="24"/>
          <w:lang w:eastAsia="en-US"/>
        </w:rPr>
        <w:t>de facto</w:t>
      </w:r>
      <w:r w:rsidRPr="00C4755C">
        <w:rPr>
          <w:rFonts w:eastAsia="Calibri" w:cs="Times New Roman"/>
          <w:bCs/>
          <w:szCs w:val="24"/>
          <w:lang w:eastAsia="en-US"/>
        </w:rPr>
        <w:t xml:space="preserve"> nie będzie objęty kompleksowym rozwiązaniem. Projektowane przepisy są zbieżne ze zmianami proponowanymi w ustawach o podatku dochodowym od osób fizycznych i o podatku dochodowym od osób prawnych – m.in. w zakresie stosowania zwiększeń i zmniejszeń w przypadku zbycia lub uregulowania części należności czy </w:t>
      </w:r>
      <w:r w:rsidR="006E7CFC" w:rsidRPr="00C4755C">
        <w:rPr>
          <w:rFonts w:eastAsia="Calibri" w:cs="Times New Roman"/>
          <w:bCs/>
          <w:szCs w:val="24"/>
          <w:lang w:eastAsia="en-US"/>
        </w:rPr>
        <w:t xml:space="preserve">wyłączenia </w:t>
      </w:r>
      <w:r w:rsidRPr="00C4755C">
        <w:rPr>
          <w:rFonts w:eastAsia="Calibri" w:cs="Times New Roman"/>
          <w:bCs/>
          <w:szCs w:val="24"/>
          <w:lang w:eastAsia="en-US"/>
        </w:rPr>
        <w:t xml:space="preserve">stosowania przepisów szczególnych rozpoznających skutki tzw. złych długów w transakcjach między podmiotami powiązanymi w rozumieniu art. 23m ust. 1 pkt 4 ustawy o podatku dochodowym od osób fizycznych. Zbieżność przepisów dotyczących tzw. złych długów w podatku dochodowym między poszczególnymi ustawami regulującymi opodatkowanie podatkiem dochodowym jest warunkiem </w:t>
      </w:r>
      <w:r w:rsidRPr="00C74C5E">
        <w:rPr>
          <w:rFonts w:eastAsia="Calibri" w:cs="Times New Roman"/>
          <w:bCs/>
          <w:i/>
          <w:szCs w:val="24"/>
          <w:lang w:eastAsia="en-US"/>
        </w:rPr>
        <w:t>sine qua non</w:t>
      </w:r>
      <w:r w:rsidRPr="00C4755C">
        <w:rPr>
          <w:rFonts w:eastAsia="Calibri" w:cs="Times New Roman"/>
          <w:bCs/>
          <w:szCs w:val="24"/>
          <w:lang w:eastAsia="en-US"/>
        </w:rPr>
        <w:t xml:space="preserve"> poprawnego funkcjonowania ww. mechanizmu w obrocie gospodarczym.</w:t>
      </w:r>
    </w:p>
    <w:p w14:paraId="677482E4" w14:textId="064A4E44" w:rsidR="00C40CEE" w:rsidRPr="00C4755C" w:rsidRDefault="000F7ED3" w:rsidP="008A4755">
      <w:pPr>
        <w:keepNext/>
        <w:spacing w:before="120"/>
        <w:jc w:val="both"/>
        <w:rPr>
          <w:rFonts w:cs="Times New Roman"/>
          <w:b/>
          <w:szCs w:val="24"/>
        </w:rPr>
      </w:pPr>
      <w:r w:rsidRPr="00C4755C">
        <w:rPr>
          <w:rFonts w:cs="Times New Roman"/>
          <w:b/>
          <w:szCs w:val="24"/>
        </w:rPr>
        <w:lastRenderedPageBreak/>
        <w:t>7</w:t>
      </w:r>
      <w:r w:rsidR="00EA1DD7" w:rsidRPr="00C4755C">
        <w:rPr>
          <w:rFonts w:cs="Times New Roman"/>
          <w:b/>
          <w:szCs w:val="24"/>
        </w:rPr>
        <w:t xml:space="preserve">. </w:t>
      </w:r>
      <w:r w:rsidR="00C40CEE" w:rsidRPr="00C4755C">
        <w:rPr>
          <w:rFonts w:cs="Times New Roman"/>
          <w:b/>
          <w:szCs w:val="24"/>
        </w:rPr>
        <w:t>Zmiany w ustawie o finansach publicznych</w:t>
      </w:r>
      <w:r w:rsidR="00A02148" w:rsidRPr="00C4755C">
        <w:rPr>
          <w:rStyle w:val="Odwoanieprzypisudolnego"/>
          <w:b/>
          <w:szCs w:val="24"/>
        </w:rPr>
        <w:footnoteReference w:id="18"/>
      </w:r>
      <w:r w:rsidR="00312E96" w:rsidRPr="00C4755C">
        <w:rPr>
          <w:rFonts w:cs="Times New Roman"/>
          <w:szCs w:val="24"/>
          <w:vertAlign w:val="superscript"/>
        </w:rPr>
        <w:t>)</w:t>
      </w:r>
      <w:r w:rsidR="00C40CEE" w:rsidRPr="00C4755C">
        <w:rPr>
          <w:rFonts w:cs="Times New Roman"/>
          <w:b/>
          <w:szCs w:val="24"/>
        </w:rPr>
        <w:t xml:space="preserve"> (art. </w:t>
      </w:r>
      <w:r w:rsidR="00F7434E" w:rsidRPr="00C4755C">
        <w:rPr>
          <w:rFonts w:cs="Times New Roman"/>
          <w:b/>
          <w:szCs w:val="24"/>
        </w:rPr>
        <w:t>8</w:t>
      </w:r>
      <w:r w:rsidR="00C40CEE" w:rsidRPr="00C4755C">
        <w:rPr>
          <w:rFonts w:cs="Times New Roman"/>
          <w:b/>
          <w:szCs w:val="24"/>
        </w:rPr>
        <w:t xml:space="preserve"> projektu)</w:t>
      </w:r>
    </w:p>
    <w:p w14:paraId="3346CC49" w14:textId="67CFC525" w:rsidR="00C40CEE" w:rsidRPr="00C4755C" w:rsidRDefault="00C40CEE" w:rsidP="008A4755">
      <w:pPr>
        <w:pStyle w:val="ZLITUSTzmustliter"/>
        <w:keepNext/>
        <w:spacing w:before="120"/>
        <w:ind w:left="0" w:firstLine="0"/>
        <w:rPr>
          <w:rFonts w:ascii="Times New Roman" w:hAnsi="Times New Roman" w:cs="Times New Roman"/>
          <w:szCs w:val="24"/>
        </w:rPr>
      </w:pPr>
      <w:r w:rsidRPr="00C4755C">
        <w:rPr>
          <w:rFonts w:ascii="Times New Roman" w:hAnsi="Times New Roman" w:cs="Times New Roman"/>
          <w:szCs w:val="24"/>
        </w:rPr>
        <w:t>Zdarzają się sytuacje, że rekompensata 40 euro jest równa albo nawet większa od należności głównej. W takich przypadkach żądanie rekompensaty postrzegane jest jako działanie zbyt restrykcyjne i nieuzasadnione. To powoduje podważenie zaufania do instytucji publicznych. W związku z tym, w proj</w:t>
      </w:r>
      <w:r w:rsidR="001A50B7" w:rsidRPr="00C4755C">
        <w:rPr>
          <w:rFonts w:ascii="Times New Roman" w:hAnsi="Times New Roman" w:cs="Times New Roman"/>
          <w:szCs w:val="24"/>
        </w:rPr>
        <w:t>ektowanych zmianach do ustawy o</w:t>
      </w:r>
      <w:r w:rsidR="00C4755C">
        <w:rPr>
          <w:rFonts w:ascii="Times New Roman" w:hAnsi="Times New Roman" w:cs="Times New Roman"/>
          <w:szCs w:val="24"/>
        </w:rPr>
        <w:t xml:space="preserve"> </w:t>
      </w:r>
      <w:r w:rsidRPr="00C4755C">
        <w:rPr>
          <w:rFonts w:ascii="Times New Roman" w:hAnsi="Times New Roman" w:cs="Times New Roman"/>
          <w:szCs w:val="24"/>
        </w:rPr>
        <w:t xml:space="preserve">finansach publicznych </w:t>
      </w:r>
      <w:r w:rsidR="006233E9" w:rsidRPr="00C4755C">
        <w:rPr>
          <w:rFonts w:ascii="Times New Roman" w:hAnsi="Times New Roman" w:cs="Times New Roman"/>
          <w:szCs w:val="24"/>
        </w:rPr>
        <w:t>dodano przepisy, zgodnie z którymi dysponent części budżetowej lub dysponent państwowego funduszu celowego może wyrazić zgodę na niedochodzenie rekompensaty, o której mowa w art. 10 ust. 1</w:t>
      </w:r>
      <w:r w:rsidR="00576BF0" w:rsidRPr="00C4755C">
        <w:rPr>
          <w:rFonts w:ascii="Times New Roman" w:hAnsi="Times New Roman" w:cs="Times New Roman"/>
          <w:szCs w:val="24"/>
        </w:rPr>
        <w:t xml:space="preserve"> pkt 1</w:t>
      </w:r>
      <w:r w:rsidR="006233E9" w:rsidRPr="00C4755C">
        <w:rPr>
          <w:rFonts w:ascii="Times New Roman" w:hAnsi="Times New Roman" w:cs="Times New Roman"/>
          <w:szCs w:val="24"/>
        </w:rPr>
        <w:t xml:space="preserve"> ustawy o terminach zapłaty</w:t>
      </w:r>
      <w:r w:rsidR="00175619" w:rsidRPr="00C4755C">
        <w:rPr>
          <w:rFonts w:ascii="Times New Roman" w:hAnsi="Times New Roman" w:cs="Times New Roman"/>
          <w:szCs w:val="24"/>
        </w:rPr>
        <w:t xml:space="preserve"> (po zmianie: ustawy o przeciwdziałaniu nadmiernym opóźnieniom w transakcjach handlowych</w:t>
      </w:r>
      <w:r w:rsidR="00CD35BD" w:rsidRPr="00C4755C">
        <w:rPr>
          <w:rFonts w:ascii="Times New Roman" w:hAnsi="Times New Roman" w:cs="Times New Roman"/>
          <w:szCs w:val="24"/>
        </w:rPr>
        <w:t>)</w:t>
      </w:r>
      <w:r w:rsidR="00C74C5E">
        <w:rPr>
          <w:rFonts w:ascii="Times New Roman" w:hAnsi="Times New Roman" w:cs="Times New Roman"/>
          <w:szCs w:val="24"/>
        </w:rPr>
        <w:t>,</w:t>
      </w:r>
      <w:r w:rsidR="006233E9" w:rsidRPr="00C4755C">
        <w:rPr>
          <w:rFonts w:ascii="Times New Roman" w:hAnsi="Times New Roman" w:cs="Times New Roman"/>
          <w:szCs w:val="24"/>
        </w:rPr>
        <w:t xml:space="preserve"> jeżeli jej kwota jest równa lub wyższa od świadczenia pieniężnego </w:t>
      </w:r>
      <w:r w:rsidR="003B4624" w:rsidRPr="00C4755C">
        <w:rPr>
          <w:rFonts w:ascii="Times New Roman" w:hAnsi="Times New Roman" w:cs="Times New Roman"/>
          <w:szCs w:val="24"/>
        </w:rPr>
        <w:t>w rozumieniu tej ustawy</w:t>
      </w:r>
      <w:r w:rsidR="006233E9" w:rsidRPr="00C4755C">
        <w:rPr>
          <w:rFonts w:ascii="Times New Roman" w:hAnsi="Times New Roman" w:cs="Times New Roman"/>
          <w:szCs w:val="24"/>
        </w:rPr>
        <w:t xml:space="preserve">. W przypadku jednostek samorządu terytorialnego proponuje się wprowadzenie analogicznego rozwiązania. </w:t>
      </w:r>
      <w:r w:rsidR="007A2074" w:rsidRPr="00C4755C">
        <w:rPr>
          <w:rFonts w:ascii="Times New Roman" w:hAnsi="Times New Roman" w:cs="Times New Roman"/>
          <w:szCs w:val="24"/>
        </w:rPr>
        <w:t xml:space="preserve">Organy stanowiące jednostki samorządu terytorialnego będą mogły </w:t>
      </w:r>
      <w:r w:rsidRPr="00C4755C">
        <w:rPr>
          <w:rFonts w:ascii="Times New Roman" w:hAnsi="Times New Roman" w:cs="Times New Roman"/>
          <w:szCs w:val="24"/>
        </w:rPr>
        <w:t>przyj</w:t>
      </w:r>
      <w:r w:rsidR="007A2074" w:rsidRPr="00C4755C">
        <w:rPr>
          <w:rFonts w:ascii="Times New Roman" w:hAnsi="Times New Roman" w:cs="Times New Roman"/>
          <w:szCs w:val="24"/>
        </w:rPr>
        <w:t>ąć</w:t>
      </w:r>
      <w:r w:rsidRPr="00C4755C">
        <w:rPr>
          <w:rFonts w:ascii="Times New Roman" w:hAnsi="Times New Roman" w:cs="Times New Roman"/>
          <w:szCs w:val="24"/>
        </w:rPr>
        <w:t xml:space="preserve"> uchwał</w:t>
      </w:r>
      <w:r w:rsidR="007A2074" w:rsidRPr="00C4755C">
        <w:rPr>
          <w:rFonts w:ascii="Times New Roman" w:hAnsi="Times New Roman" w:cs="Times New Roman"/>
          <w:szCs w:val="24"/>
        </w:rPr>
        <w:t>ę</w:t>
      </w:r>
      <w:r w:rsidR="00607F2B" w:rsidRPr="00C4755C">
        <w:rPr>
          <w:rFonts w:ascii="Times New Roman" w:hAnsi="Times New Roman" w:cs="Times New Roman"/>
          <w:szCs w:val="24"/>
        </w:rPr>
        <w:t xml:space="preserve"> o</w:t>
      </w:r>
      <w:r w:rsidR="00170DEB" w:rsidRPr="00C4755C">
        <w:rPr>
          <w:rFonts w:ascii="Times New Roman" w:hAnsi="Times New Roman" w:cs="Times New Roman"/>
          <w:szCs w:val="24"/>
        </w:rPr>
        <w:t xml:space="preserve"> </w:t>
      </w:r>
      <w:r w:rsidRPr="00C4755C">
        <w:rPr>
          <w:rFonts w:ascii="Times New Roman" w:hAnsi="Times New Roman" w:cs="Times New Roman"/>
          <w:szCs w:val="24"/>
        </w:rPr>
        <w:t>niedochodzeniu takiej rekompensaty przez jednostki sektora samorządu terytorialnego, jeżeli należność główna jest równa lub mniejsza od rekompensaty (</w:t>
      </w:r>
      <w:r w:rsidR="00CF6012" w:rsidRPr="00C4755C">
        <w:rPr>
          <w:rFonts w:ascii="Times New Roman" w:hAnsi="Times New Roman" w:cs="Times New Roman"/>
          <w:szCs w:val="24"/>
        </w:rPr>
        <w:t xml:space="preserve">zmieniane </w:t>
      </w:r>
      <w:r w:rsidRPr="00C4755C">
        <w:rPr>
          <w:rFonts w:ascii="Times New Roman" w:hAnsi="Times New Roman" w:cs="Times New Roman"/>
          <w:szCs w:val="24"/>
        </w:rPr>
        <w:t xml:space="preserve">art. </w:t>
      </w:r>
      <w:r w:rsidR="006233E9" w:rsidRPr="00C4755C">
        <w:rPr>
          <w:rFonts w:ascii="Times New Roman" w:hAnsi="Times New Roman" w:cs="Times New Roman"/>
          <w:szCs w:val="24"/>
        </w:rPr>
        <w:t>58 ust. 6</w:t>
      </w:r>
      <w:r w:rsidR="00584C51" w:rsidRPr="00C4755C">
        <w:rPr>
          <w:rFonts w:ascii="Times New Roman" w:hAnsi="Times New Roman" w:cs="Times New Roman"/>
          <w:szCs w:val="24"/>
        </w:rPr>
        <w:t xml:space="preserve"> </w:t>
      </w:r>
      <w:r w:rsidR="00D749CE" w:rsidRPr="00C4755C">
        <w:rPr>
          <w:rFonts w:ascii="Times New Roman" w:hAnsi="Times New Roman" w:cs="Times New Roman"/>
          <w:szCs w:val="24"/>
        </w:rPr>
        <w:t>i</w:t>
      </w:r>
      <w:r w:rsidR="00170DEB" w:rsidRPr="00C4755C">
        <w:rPr>
          <w:rFonts w:ascii="Times New Roman" w:hAnsi="Times New Roman" w:cs="Times New Roman"/>
          <w:szCs w:val="24"/>
        </w:rPr>
        <w:t xml:space="preserve"> </w:t>
      </w:r>
      <w:r w:rsidR="00D749CE" w:rsidRPr="00C4755C">
        <w:rPr>
          <w:rFonts w:ascii="Times New Roman" w:hAnsi="Times New Roman" w:cs="Times New Roman"/>
          <w:szCs w:val="24"/>
        </w:rPr>
        <w:t>art. 59a</w:t>
      </w:r>
      <w:r w:rsidRPr="00C4755C">
        <w:rPr>
          <w:rFonts w:ascii="Times New Roman" w:hAnsi="Times New Roman" w:cs="Times New Roman"/>
          <w:szCs w:val="24"/>
        </w:rPr>
        <w:t xml:space="preserve"> </w:t>
      </w:r>
      <w:r w:rsidR="00D0327C" w:rsidRPr="00C4755C">
        <w:rPr>
          <w:rFonts w:ascii="Times New Roman" w:hAnsi="Times New Roman" w:cs="Times New Roman"/>
          <w:szCs w:val="24"/>
        </w:rPr>
        <w:t xml:space="preserve">ust. 1 </w:t>
      </w:r>
      <w:r w:rsidR="00D749CE" w:rsidRPr="00C4755C">
        <w:rPr>
          <w:rFonts w:ascii="Times New Roman" w:hAnsi="Times New Roman" w:cs="Times New Roman"/>
          <w:szCs w:val="24"/>
        </w:rPr>
        <w:t>ustawy o finansach publicznych).</w:t>
      </w:r>
    </w:p>
    <w:p w14:paraId="50915FC4" w14:textId="1DB2CC99" w:rsidR="001E398A" w:rsidRPr="00C4755C" w:rsidRDefault="000F7ED3" w:rsidP="008A4755">
      <w:pPr>
        <w:pStyle w:val="ZLITUSTzmustliter"/>
        <w:spacing w:before="240"/>
        <w:ind w:left="0" w:firstLine="0"/>
        <w:rPr>
          <w:rFonts w:ascii="Times New Roman" w:hAnsi="Times New Roman" w:cs="Times New Roman"/>
          <w:b/>
          <w:szCs w:val="24"/>
        </w:rPr>
      </w:pPr>
      <w:r w:rsidRPr="00C4755C">
        <w:rPr>
          <w:rFonts w:ascii="Times New Roman" w:hAnsi="Times New Roman" w:cs="Times New Roman"/>
          <w:b/>
          <w:szCs w:val="24"/>
        </w:rPr>
        <w:t>8</w:t>
      </w:r>
      <w:r w:rsidR="001E398A" w:rsidRPr="00C4755C">
        <w:rPr>
          <w:rFonts w:ascii="Times New Roman" w:hAnsi="Times New Roman" w:cs="Times New Roman"/>
          <w:b/>
          <w:szCs w:val="24"/>
        </w:rPr>
        <w:t>. Zmiana w ustawie o spółdzielczych kasach oszczędnościowo-kredytowych (art. 9 projektu)</w:t>
      </w:r>
    </w:p>
    <w:p w14:paraId="7413CF5F" w14:textId="35919AE8" w:rsidR="001E398A" w:rsidRPr="00C4755C" w:rsidRDefault="00AE4F8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Obecnie</w:t>
      </w:r>
      <w:r w:rsidR="001E398A" w:rsidRPr="00C4755C">
        <w:rPr>
          <w:rFonts w:ascii="Times New Roman" w:hAnsi="Times New Roman" w:cs="Times New Roman"/>
          <w:szCs w:val="24"/>
        </w:rPr>
        <w:t xml:space="preserve"> w ust. 1 art. 3 ustawy o spółdzielczych kasach oszczędnościowo-kredytowych, znajduje się odesłanie do uchylonej ustawy z dnia 22 maja 2003 r. o pośrednictwie ubezpieczeniowym. Ustawa o pośrednictwi</w:t>
      </w:r>
      <w:r w:rsidRPr="00C4755C">
        <w:rPr>
          <w:rFonts w:ascii="Times New Roman" w:hAnsi="Times New Roman" w:cs="Times New Roman"/>
          <w:szCs w:val="24"/>
        </w:rPr>
        <w:t xml:space="preserve">e ubezpieczeniowym utraciła moc </w:t>
      </w:r>
      <w:r w:rsidR="001E398A" w:rsidRPr="00C4755C">
        <w:rPr>
          <w:rFonts w:ascii="Times New Roman" w:hAnsi="Times New Roman" w:cs="Times New Roman"/>
          <w:szCs w:val="24"/>
        </w:rPr>
        <w:t>1</w:t>
      </w:r>
      <w:r w:rsidR="00C4755C">
        <w:rPr>
          <w:rFonts w:ascii="Times New Roman" w:hAnsi="Times New Roman" w:cs="Times New Roman"/>
          <w:szCs w:val="24"/>
        </w:rPr>
        <w:t xml:space="preserve"> </w:t>
      </w:r>
      <w:r w:rsidR="001E398A" w:rsidRPr="00C4755C">
        <w:rPr>
          <w:rFonts w:ascii="Times New Roman" w:hAnsi="Times New Roman" w:cs="Times New Roman"/>
          <w:szCs w:val="24"/>
        </w:rPr>
        <w:t>października 2018 r. na podstawie art. 111 ustawy z dnia 15 grudnia 2017 r. o dystrybucji ubezpieczeń (Dz.</w:t>
      </w:r>
      <w:r w:rsidR="00CF6012" w:rsidRPr="00C4755C">
        <w:rPr>
          <w:rFonts w:ascii="Times New Roman" w:hAnsi="Times New Roman" w:cs="Times New Roman"/>
          <w:szCs w:val="24"/>
        </w:rPr>
        <w:t xml:space="preserve"> </w:t>
      </w:r>
      <w:r w:rsidR="001E398A" w:rsidRPr="00C4755C">
        <w:rPr>
          <w:rFonts w:ascii="Times New Roman" w:hAnsi="Times New Roman" w:cs="Times New Roman"/>
          <w:szCs w:val="24"/>
        </w:rPr>
        <w:t xml:space="preserve">U. </w:t>
      </w:r>
      <w:r w:rsidR="00CF6012" w:rsidRPr="00C4755C">
        <w:rPr>
          <w:rFonts w:ascii="Times New Roman" w:hAnsi="Times New Roman" w:cs="Times New Roman"/>
          <w:szCs w:val="24"/>
        </w:rPr>
        <w:t xml:space="preserve">z 2018 r. </w:t>
      </w:r>
      <w:r w:rsidR="001E398A" w:rsidRPr="00C4755C">
        <w:rPr>
          <w:rFonts w:ascii="Times New Roman" w:hAnsi="Times New Roman" w:cs="Times New Roman"/>
          <w:szCs w:val="24"/>
        </w:rPr>
        <w:t>poz.</w:t>
      </w:r>
      <w:r w:rsidR="00CF6012" w:rsidRPr="00C4755C">
        <w:rPr>
          <w:rFonts w:ascii="Times New Roman" w:hAnsi="Times New Roman" w:cs="Times New Roman"/>
          <w:szCs w:val="24"/>
        </w:rPr>
        <w:t xml:space="preserve"> </w:t>
      </w:r>
      <w:r w:rsidR="00D0327C" w:rsidRPr="00C4755C">
        <w:rPr>
          <w:rFonts w:ascii="Times New Roman" w:hAnsi="Times New Roman" w:cs="Times New Roman"/>
          <w:szCs w:val="24"/>
        </w:rPr>
        <w:t>2210</w:t>
      </w:r>
      <w:r w:rsidR="00CF6012" w:rsidRPr="00C4755C">
        <w:rPr>
          <w:rFonts w:ascii="Times New Roman" w:hAnsi="Times New Roman" w:cs="Times New Roman"/>
          <w:szCs w:val="24"/>
        </w:rPr>
        <w:t>, z późn. zm.</w:t>
      </w:r>
      <w:r w:rsidR="001E398A" w:rsidRPr="00C4755C">
        <w:rPr>
          <w:rFonts w:ascii="Times New Roman" w:hAnsi="Times New Roman" w:cs="Times New Roman"/>
          <w:szCs w:val="24"/>
        </w:rPr>
        <w:t>), która weszła w życie 1</w:t>
      </w:r>
      <w:r w:rsidRPr="00C4755C">
        <w:rPr>
          <w:rFonts w:ascii="Times New Roman" w:hAnsi="Times New Roman" w:cs="Times New Roman"/>
          <w:szCs w:val="24"/>
        </w:rPr>
        <w:t xml:space="preserve"> </w:t>
      </w:r>
      <w:r w:rsidR="001E398A" w:rsidRPr="00C4755C">
        <w:rPr>
          <w:rFonts w:ascii="Times New Roman" w:hAnsi="Times New Roman" w:cs="Times New Roman"/>
          <w:szCs w:val="24"/>
        </w:rPr>
        <w:t>października 2018 r. W związku z powyższym kore</w:t>
      </w:r>
      <w:r w:rsidR="00170DEB" w:rsidRPr="00C4755C">
        <w:rPr>
          <w:rFonts w:ascii="Times New Roman" w:hAnsi="Times New Roman" w:cs="Times New Roman"/>
          <w:szCs w:val="24"/>
        </w:rPr>
        <w:t>kty wymaga odesłanie do ustawy.</w:t>
      </w:r>
    </w:p>
    <w:p w14:paraId="6EF175D8" w14:textId="6F5FC167" w:rsidR="00E7313C" w:rsidRPr="00C4755C" w:rsidRDefault="000F7ED3" w:rsidP="008A4755">
      <w:pPr>
        <w:spacing w:before="240"/>
        <w:jc w:val="both"/>
        <w:rPr>
          <w:rFonts w:cs="Times New Roman"/>
          <w:b/>
          <w:szCs w:val="24"/>
        </w:rPr>
      </w:pPr>
      <w:r w:rsidRPr="00C4755C">
        <w:rPr>
          <w:rFonts w:cs="Times New Roman"/>
          <w:b/>
          <w:szCs w:val="24"/>
        </w:rPr>
        <w:t>9</w:t>
      </w:r>
      <w:r w:rsidR="00806797" w:rsidRPr="00C4755C">
        <w:rPr>
          <w:rFonts w:cs="Times New Roman"/>
          <w:b/>
          <w:szCs w:val="24"/>
        </w:rPr>
        <w:t xml:space="preserve">. </w:t>
      </w:r>
      <w:r w:rsidR="00E7313C" w:rsidRPr="00C4755C">
        <w:rPr>
          <w:rFonts w:cs="Times New Roman"/>
          <w:b/>
          <w:szCs w:val="24"/>
        </w:rPr>
        <w:t>Zmiany w ustawie o terminach zapłaty w transakcjach handlowych</w:t>
      </w:r>
      <w:r w:rsidR="002414F3" w:rsidRPr="00C4755C">
        <w:rPr>
          <w:rStyle w:val="Odwoanieprzypisudolnego"/>
          <w:b/>
          <w:szCs w:val="24"/>
        </w:rPr>
        <w:footnoteReference w:id="19"/>
      </w:r>
      <w:r w:rsidR="00312E96" w:rsidRPr="00C4755C">
        <w:rPr>
          <w:rFonts w:cs="Times New Roman"/>
          <w:szCs w:val="24"/>
          <w:vertAlign w:val="superscript"/>
        </w:rPr>
        <w:t>)</w:t>
      </w:r>
      <w:r w:rsidR="00530064" w:rsidRPr="00C4755C">
        <w:rPr>
          <w:rFonts w:cs="Times New Roman"/>
          <w:b/>
          <w:szCs w:val="24"/>
        </w:rPr>
        <w:t xml:space="preserve"> (art. </w:t>
      </w:r>
      <w:r w:rsidR="00851134" w:rsidRPr="00C4755C">
        <w:rPr>
          <w:rFonts w:cs="Times New Roman"/>
          <w:b/>
          <w:szCs w:val="24"/>
        </w:rPr>
        <w:t>10</w:t>
      </w:r>
      <w:r w:rsidR="00584C51" w:rsidRPr="00C4755C">
        <w:rPr>
          <w:rFonts w:cs="Times New Roman"/>
          <w:b/>
          <w:szCs w:val="24"/>
        </w:rPr>
        <w:t xml:space="preserve"> </w:t>
      </w:r>
      <w:r w:rsidR="00530064" w:rsidRPr="00C4755C">
        <w:rPr>
          <w:rFonts w:cs="Times New Roman"/>
          <w:b/>
          <w:szCs w:val="24"/>
        </w:rPr>
        <w:t>projektu)</w:t>
      </w:r>
    </w:p>
    <w:p w14:paraId="7FD660AB" w14:textId="0A5581E1" w:rsidR="00E9192E" w:rsidRPr="00C4755C" w:rsidRDefault="008C51CB" w:rsidP="00C4755C">
      <w:pPr>
        <w:spacing w:before="120"/>
        <w:jc w:val="both"/>
        <w:rPr>
          <w:rFonts w:cs="Times New Roman"/>
          <w:b/>
          <w:i/>
          <w:szCs w:val="24"/>
        </w:rPr>
      </w:pPr>
      <w:r w:rsidRPr="00C4755C">
        <w:rPr>
          <w:rFonts w:cs="Times New Roman"/>
          <w:b/>
          <w:i/>
          <w:szCs w:val="24"/>
        </w:rPr>
        <w:t xml:space="preserve">1) </w:t>
      </w:r>
      <w:r w:rsidR="00170DEB" w:rsidRPr="00C4755C">
        <w:rPr>
          <w:rFonts w:cs="Times New Roman"/>
          <w:b/>
          <w:i/>
          <w:szCs w:val="24"/>
        </w:rPr>
        <w:t>Z</w:t>
      </w:r>
      <w:r w:rsidR="00E9192E" w:rsidRPr="00C4755C">
        <w:rPr>
          <w:rFonts w:cs="Times New Roman"/>
          <w:b/>
          <w:i/>
          <w:szCs w:val="24"/>
        </w:rPr>
        <w:t>miana tytułu ustawy</w:t>
      </w:r>
    </w:p>
    <w:p w14:paraId="6D1B36CD" w14:textId="5AC17389" w:rsidR="00E9192E" w:rsidRPr="00C4755C" w:rsidRDefault="00E9192E" w:rsidP="00C4755C">
      <w:pPr>
        <w:spacing w:before="120"/>
        <w:jc w:val="both"/>
        <w:rPr>
          <w:rFonts w:cs="Times New Roman"/>
          <w:szCs w:val="24"/>
        </w:rPr>
      </w:pPr>
      <w:r w:rsidRPr="00C4755C">
        <w:rPr>
          <w:rFonts w:cs="Times New Roman"/>
          <w:szCs w:val="24"/>
        </w:rPr>
        <w:t xml:space="preserve">W projekcie wprowadzono zmianę tytułu ustawy o terminach </w:t>
      </w:r>
      <w:r w:rsidR="001571F2" w:rsidRPr="00C4755C">
        <w:rPr>
          <w:rFonts w:cs="Times New Roman"/>
          <w:szCs w:val="24"/>
        </w:rPr>
        <w:t>zapłaty</w:t>
      </w:r>
      <w:r w:rsidRPr="00C4755C">
        <w:rPr>
          <w:rFonts w:cs="Times New Roman"/>
          <w:szCs w:val="24"/>
        </w:rPr>
        <w:t xml:space="preserve"> w transakcjach </w:t>
      </w:r>
      <w:r w:rsidRPr="00C4755C">
        <w:rPr>
          <w:rFonts w:cs="Times New Roman"/>
          <w:szCs w:val="24"/>
        </w:rPr>
        <w:lastRenderedPageBreak/>
        <w:t xml:space="preserve">handlowych na ustawę o przeciwdziałaniu </w:t>
      </w:r>
      <w:r w:rsidR="007217B5" w:rsidRPr="00C4755C">
        <w:rPr>
          <w:rFonts w:cs="Times New Roman"/>
          <w:szCs w:val="24"/>
        </w:rPr>
        <w:t>nadmiernym opóźnieniom w transakcjach handlowych</w:t>
      </w:r>
      <w:r w:rsidRPr="00C4755C">
        <w:rPr>
          <w:rFonts w:cs="Times New Roman"/>
          <w:szCs w:val="24"/>
        </w:rPr>
        <w:t xml:space="preserve">. Jest to uzasadnione tym, że w wyniku nowelizacji zaproponowano dodanie przepisów, które regulują postępowanie przed Prezesem UOKiK w sprawie </w:t>
      </w:r>
      <w:r w:rsidR="00312F13" w:rsidRPr="00C4755C">
        <w:rPr>
          <w:rFonts w:cs="Times New Roman"/>
          <w:szCs w:val="24"/>
        </w:rPr>
        <w:t>nadmiernego opóźniania</w:t>
      </w:r>
      <w:r w:rsidRPr="00C4755C">
        <w:rPr>
          <w:rFonts w:cs="Times New Roman"/>
          <w:szCs w:val="24"/>
        </w:rPr>
        <w:t xml:space="preserve"> się ze spełnianiem świadczeń pieniężnych.</w:t>
      </w:r>
    </w:p>
    <w:p w14:paraId="76F024CE" w14:textId="0D64399B" w:rsidR="00256BD4" w:rsidRPr="00C4755C" w:rsidRDefault="00E9192E" w:rsidP="00C4755C">
      <w:pPr>
        <w:spacing w:before="120"/>
        <w:jc w:val="both"/>
        <w:rPr>
          <w:rFonts w:cs="Times New Roman"/>
          <w:b/>
          <w:i/>
          <w:szCs w:val="24"/>
        </w:rPr>
      </w:pPr>
      <w:r w:rsidRPr="00C4755C">
        <w:rPr>
          <w:rFonts w:cs="Times New Roman"/>
          <w:b/>
          <w:i/>
          <w:szCs w:val="24"/>
        </w:rPr>
        <w:t>2)</w:t>
      </w:r>
      <w:r w:rsidR="00ED0C82" w:rsidRPr="00C4755C">
        <w:rPr>
          <w:rFonts w:cs="Times New Roman"/>
          <w:b/>
          <w:i/>
          <w:szCs w:val="24"/>
        </w:rPr>
        <w:t xml:space="preserve"> </w:t>
      </w:r>
      <w:r w:rsidR="00256BD4" w:rsidRPr="00C4755C">
        <w:rPr>
          <w:rFonts w:cs="Times New Roman"/>
          <w:b/>
          <w:i/>
          <w:szCs w:val="24"/>
        </w:rPr>
        <w:t>Podwyższenie odsetek ustawowych za</w:t>
      </w:r>
      <w:r w:rsidR="00357DD2" w:rsidRPr="00C4755C">
        <w:rPr>
          <w:rFonts w:cs="Times New Roman"/>
          <w:b/>
          <w:i/>
          <w:szCs w:val="24"/>
        </w:rPr>
        <w:t xml:space="preserve"> </w:t>
      </w:r>
      <w:r w:rsidR="00256BD4" w:rsidRPr="00C4755C">
        <w:rPr>
          <w:rFonts w:cs="Times New Roman"/>
          <w:b/>
          <w:i/>
          <w:szCs w:val="24"/>
        </w:rPr>
        <w:t>opó</w:t>
      </w:r>
      <w:r w:rsidR="00357DD2" w:rsidRPr="00C4755C">
        <w:rPr>
          <w:rFonts w:cs="Times New Roman"/>
          <w:b/>
          <w:i/>
          <w:szCs w:val="24"/>
        </w:rPr>
        <w:t>ź</w:t>
      </w:r>
      <w:r w:rsidR="00256BD4" w:rsidRPr="00C4755C">
        <w:rPr>
          <w:rFonts w:cs="Times New Roman"/>
          <w:b/>
          <w:i/>
          <w:szCs w:val="24"/>
        </w:rPr>
        <w:t xml:space="preserve">nienie w </w:t>
      </w:r>
      <w:r w:rsidR="00DB59D8">
        <w:rPr>
          <w:rFonts w:cs="Times New Roman"/>
          <w:b/>
          <w:i/>
          <w:szCs w:val="24"/>
        </w:rPr>
        <w:t>transakcjach handlowych (art. </w:t>
      </w:r>
      <w:r w:rsidR="00607F2B" w:rsidRPr="00C4755C">
        <w:rPr>
          <w:rFonts w:cs="Times New Roman"/>
          <w:b/>
          <w:i/>
          <w:szCs w:val="24"/>
        </w:rPr>
        <w:t>4</w:t>
      </w:r>
      <w:r w:rsidR="00584C51" w:rsidRPr="00C4755C">
        <w:rPr>
          <w:rFonts w:cs="Times New Roman"/>
          <w:b/>
          <w:i/>
          <w:szCs w:val="24"/>
        </w:rPr>
        <w:t xml:space="preserve"> </w:t>
      </w:r>
      <w:r w:rsidR="00256BD4" w:rsidRPr="00C4755C">
        <w:rPr>
          <w:rFonts w:cs="Times New Roman"/>
          <w:b/>
          <w:i/>
          <w:szCs w:val="24"/>
        </w:rPr>
        <w:t>pkt 3)</w:t>
      </w:r>
    </w:p>
    <w:p w14:paraId="174BFE43" w14:textId="328E1D00" w:rsidR="00256BD4" w:rsidRPr="00C4755C" w:rsidRDefault="00256BD4" w:rsidP="008A4755">
      <w:pPr>
        <w:widowControl/>
        <w:autoSpaceDE/>
        <w:autoSpaceDN/>
        <w:adjustRightInd/>
        <w:spacing w:before="120"/>
        <w:jc w:val="both"/>
        <w:rPr>
          <w:rFonts w:eastAsia="Calibri" w:cs="Times New Roman"/>
          <w:i/>
          <w:szCs w:val="24"/>
          <w:lang w:eastAsia="en-US"/>
        </w:rPr>
      </w:pPr>
      <w:r w:rsidRPr="00C4755C">
        <w:rPr>
          <w:rFonts w:cs="Times New Roman"/>
          <w:szCs w:val="24"/>
        </w:rPr>
        <w:t xml:space="preserve">Obecnie stopa odsetek ustawowych za opóźnienie </w:t>
      </w:r>
      <w:bookmarkStart w:id="1" w:name="highlightHit_27"/>
      <w:bookmarkEnd w:id="1"/>
      <w:r w:rsidRPr="00C4755C">
        <w:rPr>
          <w:rFonts w:cs="Times New Roman"/>
          <w:szCs w:val="24"/>
        </w:rPr>
        <w:t xml:space="preserve">w </w:t>
      </w:r>
      <w:bookmarkStart w:id="2" w:name="highlightHit_28"/>
      <w:bookmarkEnd w:id="2"/>
      <w:r w:rsidRPr="00C4755C">
        <w:rPr>
          <w:rFonts w:cs="Times New Roman"/>
          <w:szCs w:val="24"/>
        </w:rPr>
        <w:t xml:space="preserve">transakcjach </w:t>
      </w:r>
      <w:bookmarkStart w:id="3" w:name="highlightHit_29"/>
      <w:bookmarkEnd w:id="3"/>
      <w:r w:rsidRPr="00C4755C">
        <w:rPr>
          <w:rFonts w:cs="Times New Roman"/>
          <w:szCs w:val="24"/>
        </w:rPr>
        <w:t>handlowych jest równa sumie stopy referencyjnej Narodowego Banku Polskiego i ośmiu punktów procentowych (</w:t>
      </w:r>
      <w:r w:rsidR="00CD35BD" w:rsidRPr="00C4755C">
        <w:rPr>
          <w:rFonts w:cs="Times New Roman"/>
          <w:szCs w:val="24"/>
        </w:rPr>
        <w:t>na dzień 31 stycznia 2019 r. jest to</w:t>
      </w:r>
      <w:r w:rsidRPr="00C4755C">
        <w:rPr>
          <w:rFonts w:cs="Times New Roman"/>
          <w:szCs w:val="24"/>
        </w:rPr>
        <w:t xml:space="preserve"> 9,5%). </w:t>
      </w:r>
      <w:r w:rsidR="00607F2B" w:rsidRPr="00C4755C">
        <w:rPr>
          <w:rFonts w:cs="Times New Roman"/>
          <w:szCs w:val="24"/>
        </w:rPr>
        <w:t>Zgodnie z danymi gromadzonymi przez Narodowy Bank Polski o</w:t>
      </w:r>
      <w:r w:rsidR="00584C51" w:rsidRPr="00C4755C">
        <w:rPr>
          <w:rFonts w:cs="Times New Roman"/>
          <w:szCs w:val="24"/>
        </w:rPr>
        <w:t xml:space="preserve"> </w:t>
      </w:r>
      <w:r w:rsidR="00607F2B" w:rsidRPr="00C4755C">
        <w:rPr>
          <w:rFonts w:cs="Times New Roman"/>
          <w:szCs w:val="24"/>
        </w:rPr>
        <w:t>oprocentowaniu kredytów obrotowych, informacjami ujawnianymi przez niektóre banki komercyjne o stosowanych przez nich marżach, jak również na podstawie powszechnie dostępnych danych od samych przedsiębiorców, p</w:t>
      </w:r>
      <w:r w:rsidRPr="00C4755C">
        <w:rPr>
          <w:rFonts w:cs="Times New Roman"/>
          <w:szCs w:val="24"/>
        </w:rPr>
        <w:t xml:space="preserve">rzeciętne oprocentowanie kredytu obrotowego dla przedsiębiorców </w:t>
      </w:r>
      <w:r w:rsidR="00607F2B" w:rsidRPr="00C4755C">
        <w:rPr>
          <w:rFonts w:cs="Times New Roman"/>
          <w:szCs w:val="24"/>
        </w:rPr>
        <w:t xml:space="preserve">kształtuje się </w:t>
      </w:r>
      <w:r w:rsidR="001571F2" w:rsidRPr="00C4755C">
        <w:rPr>
          <w:rFonts w:cs="Times New Roman"/>
          <w:szCs w:val="24"/>
        </w:rPr>
        <w:t>obecnie</w:t>
      </w:r>
      <w:r w:rsidR="00607F2B" w:rsidRPr="00C4755C">
        <w:rPr>
          <w:rFonts w:cs="Times New Roman"/>
          <w:szCs w:val="24"/>
        </w:rPr>
        <w:t xml:space="preserve"> na poziomie </w:t>
      </w:r>
      <w:r w:rsidRPr="00C4755C">
        <w:rPr>
          <w:rFonts w:cs="Times New Roman"/>
          <w:szCs w:val="24"/>
        </w:rPr>
        <w:t>ok. 10%. W takie</w:t>
      </w:r>
      <w:r w:rsidR="00607F2B" w:rsidRPr="00C4755C">
        <w:rPr>
          <w:rFonts w:cs="Times New Roman"/>
          <w:szCs w:val="24"/>
        </w:rPr>
        <w:t>j</w:t>
      </w:r>
      <w:r w:rsidRPr="00C4755C">
        <w:rPr>
          <w:rFonts w:cs="Times New Roman"/>
          <w:szCs w:val="24"/>
        </w:rPr>
        <w:t xml:space="preserve"> sytuacji koszt kredytu bankowego jest </w:t>
      </w:r>
      <w:r w:rsidR="00607F2B" w:rsidRPr="00C4755C">
        <w:rPr>
          <w:rFonts w:cs="Times New Roman"/>
          <w:szCs w:val="24"/>
        </w:rPr>
        <w:t xml:space="preserve">obecnie </w:t>
      </w:r>
      <w:r w:rsidR="005138F8" w:rsidRPr="00C4755C">
        <w:rPr>
          <w:rFonts w:cs="Times New Roman"/>
          <w:szCs w:val="24"/>
        </w:rPr>
        <w:t>wyższy</w:t>
      </w:r>
      <w:r w:rsidRPr="00C4755C">
        <w:rPr>
          <w:rFonts w:cs="Times New Roman"/>
          <w:szCs w:val="24"/>
        </w:rPr>
        <w:t xml:space="preserve"> od kosztów związanych z</w:t>
      </w:r>
      <w:r w:rsidR="00584C51" w:rsidRPr="00C4755C">
        <w:rPr>
          <w:rFonts w:cs="Times New Roman"/>
          <w:szCs w:val="24"/>
        </w:rPr>
        <w:t xml:space="preserve"> </w:t>
      </w:r>
      <w:r w:rsidR="00607F2B" w:rsidRPr="00C4755C">
        <w:rPr>
          <w:rFonts w:cs="Times New Roman"/>
          <w:szCs w:val="24"/>
        </w:rPr>
        <w:t>(często wymuszonym) kredytem kupiecki</w:t>
      </w:r>
      <w:r w:rsidR="00CF6012" w:rsidRPr="00C4755C">
        <w:rPr>
          <w:rFonts w:cs="Times New Roman"/>
          <w:szCs w:val="24"/>
        </w:rPr>
        <w:t>m</w:t>
      </w:r>
      <w:r w:rsidR="00607F2B" w:rsidRPr="00C4755C">
        <w:rPr>
          <w:rFonts w:cs="Times New Roman"/>
          <w:szCs w:val="24"/>
        </w:rPr>
        <w:t xml:space="preserve">, czyli </w:t>
      </w:r>
      <w:r w:rsidRPr="00C4755C">
        <w:rPr>
          <w:rFonts w:cs="Times New Roman"/>
          <w:szCs w:val="24"/>
        </w:rPr>
        <w:t xml:space="preserve">zadłużaniem </w:t>
      </w:r>
      <w:r w:rsidR="00607F2B" w:rsidRPr="00C4755C">
        <w:rPr>
          <w:rFonts w:cs="Times New Roman"/>
          <w:szCs w:val="24"/>
        </w:rPr>
        <w:t xml:space="preserve">się </w:t>
      </w:r>
      <w:r w:rsidRPr="00C4755C">
        <w:rPr>
          <w:rFonts w:cs="Times New Roman"/>
          <w:szCs w:val="24"/>
        </w:rPr>
        <w:t>u</w:t>
      </w:r>
      <w:r w:rsidR="0090411F" w:rsidRPr="00C4755C">
        <w:rPr>
          <w:rFonts w:cs="Times New Roman"/>
          <w:szCs w:val="24"/>
        </w:rPr>
        <w:t xml:space="preserve"> </w:t>
      </w:r>
      <w:r w:rsidR="00607F2B" w:rsidRPr="00C4755C">
        <w:rPr>
          <w:rFonts w:cs="Times New Roman"/>
          <w:szCs w:val="24"/>
        </w:rPr>
        <w:t xml:space="preserve">własnych </w:t>
      </w:r>
      <w:r w:rsidRPr="00C4755C">
        <w:rPr>
          <w:rFonts w:cs="Times New Roman"/>
          <w:szCs w:val="24"/>
        </w:rPr>
        <w:t>kontrahentów</w:t>
      </w:r>
      <w:r w:rsidR="00607F2B" w:rsidRPr="00C4755C">
        <w:rPr>
          <w:rFonts w:cs="Times New Roman"/>
          <w:szCs w:val="24"/>
        </w:rPr>
        <w:t>. Bez w</w:t>
      </w:r>
      <w:r w:rsidR="00BF42F0" w:rsidRPr="00C4755C">
        <w:rPr>
          <w:rFonts w:cs="Times New Roman"/>
          <w:szCs w:val="24"/>
        </w:rPr>
        <w:t>ą</w:t>
      </w:r>
      <w:r w:rsidR="00607F2B" w:rsidRPr="00C4755C">
        <w:rPr>
          <w:rFonts w:cs="Times New Roman"/>
          <w:szCs w:val="24"/>
        </w:rPr>
        <w:t xml:space="preserve">tpienia stanowi to istotny czynnik </w:t>
      </w:r>
      <w:r w:rsidR="001571F2" w:rsidRPr="00C4755C">
        <w:rPr>
          <w:rFonts w:cs="Times New Roman"/>
          <w:szCs w:val="24"/>
        </w:rPr>
        <w:t>ekonomiczny</w:t>
      </w:r>
      <w:r w:rsidR="00607F2B" w:rsidRPr="00C4755C">
        <w:rPr>
          <w:rFonts w:cs="Times New Roman"/>
          <w:szCs w:val="24"/>
        </w:rPr>
        <w:t xml:space="preserve"> sprzyjający </w:t>
      </w:r>
      <w:r w:rsidRPr="00C4755C">
        <w:rPr>
          <w:rFonts w:cs="Times New Roman"/>
          <w:szCs w:val="24"/>
        </w:rPr>
        <w:t>występowani</w:t>
      </w:r>
      <w:r w:rsidR="00607F2B" w:rsidRPr="00C4755C">
        <w:rPr>
          <w:rFonts w:cs="Times New Roman"/>
          <w:szCs w:val="24"/>
        </w:rPr>
        <w:t>u</w:t>
      </w:r>
      <w:r w:rsidRPr="00C4755C">
        <w:rPr>
          <w:rFonts w:cs="Times New Roman"/>
          <w:szCs w:val="24"/>
        </w:rPr>
        <w:t xml:space="preserve"> zatorów</w:t>
      </w:r>
      <w:r w:rsidR="00607F2B" w:rsidRPr="00C4755C">
        <w:rPr>
          <w:rFonts w:cs="Times New Roman"/>
          <w:szCs w:val="24"/>
        </w:rPr>
        <w:t xml:space="preserve"> płatniczych</w:t>
      </w:r>
      <w:r w:rsidRPr="00C4755C">
        <w:rPr>
          <w:rFonts w:cs="Times New Roman"/>
          <w:szCs w:val="24"/>
        </w:rPr>
        <w:t>. Wobec powyższego w projekcie postanowiono podwyższyć wysokość stopy odsetek ustawowych</w:t>
      </w:r>
      <w:r w:rsidR="00F3246B" w:rsidRPr="00C4755C">
        <w:rPr>
          <w:rFonts w:cs="Times New Roman"/>
          <w:szCs w:val="24"/>
        </w:rPr>
        <w:t xml:space="preserve"> za opóźnienie w</w:t>
      </w:r>
      <w:r w:rsidR="00C4755C">
        <w:rPr>
          <w:rFonts w:cs="Times New Roman"/>
          <w:szCs w:val="24"/>
        </w:rPr>
        <w:t xml:space="preserve"> </w:t>
      </w:r>
      <w:r w:rsidRPr="00C4755C">
        <w:rPr>
          <w:rFonts w:cs="Times New Roman"/>
          <w:szCs w:val="24"/>
        </w:rPr>
        <w:t xml:space="preserve">transakcjach handlowych w taki sposób, aby koszt zadłużania u kontrahentów </w:t>
      </w:r>
      <w:r w:rsidR="00E278A7" w:rsidRPr="00C4755C">
        <w:rPr>
          <w:rFonts w:cs="Times New Roman"/>
          <w:szCs w:val="24"/>
        </w:rPr>
        <w:t>przewyższał koszt kredytu operacyjnego. Zaproponowano, aby stawka odsetek ustawowych za opóźnienie w transakcjach handlowych była równa sumie stopy referencyjnej Narodowego Banku Polskiego i dziesięciu punktów procentowych</w:t>
      </w:r>
      <w:r w:rsidR="00357DD2" w:rsidRPr="00C4755C">
        <w:rPr>
          <w:rFonts w:cs="Times New Roman"/>
          <w:szCs w:val="24"/>
        </w:rPr>
        <w:t xml:space="preserve"> (będzie to 11,5%)</w:t>
      </w:r>
      <w:r w:rsidR="00E278A7" w:rsidRPr="00C4755C">
        <w:rPr>
          <w:rFonts w:cs="Times New Roman"/>
          <w:szCs w:val="24"/>
        </w:rPr>
        <w:t>.</w:t>
      </w:r>
      <w:r w:rsidR="0057190F" w:rsidRPr="00C4755C">
        <w:rPr>
          <w:rFonts w:cs="Times New Roman"/>
          <w:szCs w:val="24"/>
        </w:rPr>
        <w:t xml:space="preserve"> Jednocześnie dla podmiotów</w:t>
      </w:r>
      <w:r w:rsidR="003B4624" w:rsidRPr="00C4755C">
        <w:rPr>
          <w:rFonts w:cs="Times New Roman"/>
          <w:szCs w:val="24"/>
        </w:rPr>
        <w:t xml:space="preserve"> publicznych będących podmiotami</w:t>
      </w:r>
      <w:r w:rsidR="0057190F" w:rsidRPr="00C4755C">
        <w:rPr>
          <w:rFonts w:cs="Times New Roman"/>
          <w:szCs w:val="24"/>
        </w:rPr>
        <w:t xml:space="preserve"> leczniczy</w:t>
      </w:r>
      <w:r w:rsidR="003B4624" w:rsidRPr="00C4755C">
        <w:rPr>
          <w:rFonts w:cs="Times New Roman"/>
          <w:szCs w:val="24"/>
        </w:rPr>
        <w:t>mi</w:t>
      </w:r>
      <w:r w:rsidR="0057190F" w:rsidRPr="00C4755C">
        <w:rPr>
          <w:rFonts w:cs="Times New Roman"/>
          <w:szCs w:val="24"/>
        </w:rPr>
        <w:t xml:space="preserve"> planuje się pozostawić odsetki ustawowe za opóźnienie w transakcjach handlowych na obecnie obowiązującym poziomie. Jest to uzasadnione specyfik</w:t>
      </w:r>
      <w:r w:rsidR="00CF6012" w:rsidRPr="00C4755C">
        <w:rPr>
          <w:rFonts w:cs="Times New Roman"/>
          <w:szCs w:val="24"/>
        </w:rPr>
        <w:t>ą</w:t>
      </w:r>
      <w:r w:rsidR="0057190F" w:rsidRPr="00C4755C">
        <w:rPr>
          <w:rFonts w:cs="Times New Roman"/>
          <w:szCs w:val="24"/>
        </w:rPr>
        <w:t xml:space="preserve"> finansowania </w:t>
      </w:r>
      <w:r w:rsidR="009D2368" w:rsidRPr="00C4755C">
        <w:rPr>
          <w:rFonts w:cs="Times New Roman"/>
          <w:szCs w:val="24"/>
        </w:rPr>
        <w:t xml:space="preserve">podmiotów leczniczych </w:t>
      </w:r>
      <w:r w:rsidR="0057190F" w:rsidRPr="00C4755C">
        <w:rPr>
          <w:rFonts w:cs="Times New Roman"/>
          <w:szCs w:val="24"/>
        </w:rPr>
        <w:t>oraz niezrównoważeniem ponoszonych</w:t>
      </w:r>
      <w:r w:rsidR="009D2368" w:rsidRPr="00C4755C">
        <w:rPr>
          <w:rFonts w:cs="Times New Roman"/>
          <w:szCs w:val="24"/>
        </w:rPr>
        <w:t xml:space="preserve"> przez nie</w:t>
      </w:r>
      <w:r w:rsidR="0057190F" w:rsidRPr="00C4755C">
        <w:rPr>
          <w:rFonts w:cs="Times New Roman"/>
          <w:szCs w:val="24"/>
        </w:rPr>
        <w:t xml:space="preserve"> kosztów osiągniętymi przychodami</w:t>
      </w:r>
      <w:r w:rsidR="009D2368" w:rsidRPr="00C4755C">
        <w:rPr>
          <w:rFonts w:cs="Times New Roman"/>
          <w:szCs w:val="24"/>
        </w:rPr>
        <w:t>.</w:t>
      </w:r>
      <w:r w:rsidR="00C116B3" w:rsidRPr="00C4755C">
        <w:rPr>
          <w:rFonts w:cs="Times New Roman"/>
          <w:szCs w:val="24"/>
        </w:rPr>
        <w:t xml:space="preserve"> Służba zd</w:t>
      </w:r>
      <w:r w:rsidR="00557A35" w:rsidRPr="00C4755C">
        <w:rPr>
          <w:rFonts w:cs="Times New Roman"/>
          <w:szCs w:val="24"/>
        </w:rPr>
        <w:t>r</w:t>
      </w:r>
      <w:r w:rsidR="00C116B3" w:rsidRPr="00C4755C">
        <w:rPr>
          <w:rFonts w:cs="Times New Roman"/>
          <w:szCs w:val="24"/>
        </w:rPr>
        <w:t xml:space="preserve">owia </w:t>
      </w:r>
      <w:r w:rsidR="00557A35" w:rsidRPr="00C4755C">
        <w:rPr>
          <w:rFonts w:cs="Times New Roman"/>
          <w:szCs w:val="24"/>
        </w:rPr>
        <w:t xml:space="preserve">jest sektorem szczególnie wrażliwym społecznie. </w:t>
      </w:r>
      <w:r w:rsidR="00E94009" w:rsidRPr="00C4755C">
        <w:rPr>
          <w:rFonts w:cs="Times New Roman"/>
          <w:szCs w:val="24"/>
        </w:rPr>
        <w:t xml:space="preserve">Podwyższenie odsetek za opóźnienie również dla podmiotów </w:t>
      </w:r>
      <w:r w:rsidR="003B4624" w:rsidRPr="00C4755C">
        <w:rPr>
          <w:rFonts w:cs="Times New Roman"/>
          <w:szCs w:val="24"/>
        </w:rPr>
        <w:t xml:space="preserve">publicznych będących podmiotami leczniczymi </w:t>
      </w:r>
      <w:r w:rsidR="00E94009" w:rsidRPr="00C4755C">
        <w:rPr>
          <w:rFonts w:cs="Times New Roman"/>
          <w:szCs w:val="24"/>
        </w:rPr>
        <w:t xml:space="preserve">mogłoby </w:t>
      </w:r>
      <w:r w:rsidR="00465783" w:rsidRPr="00C4755C">
        <w:rPr>
          <w:rFonts w:cs="Times New Roman"/>
          <w:szCs w:val="24"/>
        </w:rPr>
        <w:t>niekorzystnie wpłynąć</w:t>
      </w:r>
      <w:r w:rsidR="00465783" w:rsidRPr="00C4755C">
        <w:rPr>
          <w:rFonts w:eastAsia="Calibri" w:cs="Times New Roman"/>
          <w:szCs w:val="24"/>
          <w:lang w:eastAsia="en-US"/>
        </w:rPr>
        <w:t xml:space="preserve"> </w:t>
      </w:r>
      <w:r w:rsidR="00A133BB" w:rsidRPr="00C4755C">
        <w:rPr>
          <w:rFonts w:eastAsia="Calibri" w:cs="Times New Roman"/>
          <w:szCs w:val="24"/>
          <w:lang w:eastAsia="en-US"/>
        </w:rPr>
        <w:t xml:space="preserve">na </w:t>
      </w:r>
      <w:r w:rsidR="00465783" w:rsidRPr="00C4755C">
        <w:rPr>
          <w:rFonts w:eastAsia="Calibri" w:cs="Times New Roman"/>
          <w:szCs w:val="24"/>
          <w:lang w:eastAsia="en-US"/>
        </w:rPr>
        <w:t>ich sytuację finansową</w:t>
      </w:r>
      <w:r w:rsidR="00F3246B" w:rsidRPr="00C4755C">
        <w:rPr>
          <w:rFonts w:eastAsia="Calibri" w:cs="Times New Roman"/>
          <w:szCs w:val="24"/>
          <w:lang w:eastAsia="en-US"/>
        </w:rPr>
        <w:t xml:space="preserve"> </w:t>
      </w:r>
      <w:r w:rsidR="00E94009" w:rsidRPr="00C4755C">
        <w:rPr>
          <w:rFonts w:eastAsia="Calibri" w:cs="Times New Roman"/>
          <w:szCs w:val="24"/>
          <w:lang w:eastAsia="en-US"/>
        </w:rPr>
        <w:t>i</w:t>
      </w:r>
      <w:r w:rsidR="00C4755C">
        <w:rPr>
          <w:rFonts w:eastAsia="Calibri" w:cs="Times New Roman"/>
          <w:szCs w:val="24"/>
          <w:lang w:eastAsia="en-US"/>
        </w:rPr>
        <w:t xml:space="preserve"> </w:t>
      </w:r>
      <w:r w:rsidR="00E94009" w:rsidRPr="00C4755C">
        <w:rPr>
          <w:rFonts w:eastAsia="Calibri" w:cs="Times New Roman"/>
          <w:szCs w:val="24"/>
          <w:lang w:eastAsia="en-US"/>
        </w:rPr>
        <w:t>w</w:t>
      </w:r>
      <w:r w:rsidR="00C4755C">
        <w:rPr>
          <w:rFonts w:eastAsia="Calibri" w:cs="Times New Roman"/>
          <w:szCs w:val="24"/>
          <w:lang w:eastAsia="en-US"/>
        </w:rPr>
        <w:t xml:space="preserve"> </w:t>
      </w:r>
      <w:r w:rsidR="00E94009" w:rsidRPr="00C4755C">
        <w:rPr>
          <w:rFonts w:eastAsia="Calibri" w:cs="Times New Roman"/>
          <w:szCs w:val="24"/>
          <w:lang w:eastAsia="en-US"/>
        </w:rPr>
        <w:t>konsekwencji skutkować zmniejszeniem limitów wykonywanych badań.</w:t>
      </w:r>
      <w:r w:rsidR="00E94009" w:rsidRPr="00C4755C">
        <w:rPr>
          <w:rFonts w:eastAsia="Calibri" w:cs="Times New Roman"/>
          <w:i/>
          <w:szCs w:val="24"/>
          <w:lang w:eastAsia="en-US"/>
        </w:rPr>
        <w:t xml:space="preserve"> </w:t>
      </w:r>
      <w:r w:rsidR="00E94009" w:rsidRPr="00C4755C">
        <w:rPr>
          <w:rFonts w:eastAsia="Calibri" w:cs="Times New Roman"/>
          <w:szCs w:val="24"/>
          <w:lang w:eastAsia="en-US"/>
        </w:rPr>
        <w:t xml:space="preserve">Skutki takiego rozwiązania </w:t>
      </w:r>
      <w:r w:rsidR="004673E9" w:rsidRPr="00C4755C">
        <w:rPr>
          <w:rFonts w:eastAsia="Calibri" w:cs="Times New Roman"/>
          <w:szCs w:val="24"/>
          <w:lang w:eastAsia="en-US"/>
        </w:rPr>
        <w:t>dotknęłyby pacjentów</w:t>
      </w:r>
      <w:r w:rsidR="00E94009" w:rsidRPr="00C4755C">
        <w:rPr>
          <w:rFonts w:eastAsia="Calibri" w:cs="Times New Roman"/>
          <w:szCs w:val="24"/>
          <w:lang w:eastAsia="en-US"/>
        </w:rPr>
        <w:t>.</w:t>
      </w:r>
    </w:p>
    <w:p w14:paraId="4042CAEB" w14:textId="5902B0DF" w:rsidR="00E7313C" w:rsidRPr="00C4755C" w:rsidRDefault="00E9192E" w:rsidP="008A4755">
      <w:pPr>
        <w:keepNext/>
        <w:widowControl/>
        <w:spacing w:before="120"/>
        <w:jc w:val="both"/>
        <w:rPr>
          <w:rFonts w:cs="Times New Roman"/>
          <w:b/>
          <w:i/>
          <w:szCs w:val="24"/>
        </w:rPr>
      </w:pPr>
      <w:r w:rsidRPr="00C4755C">
        <w:rPr>
          <w:rFonts w:cs="Times New Roman"/>
          <w:b/>
          <w:i/>
          <w:szCs w:val="24"/>
        </w:rPr>
        <w:lastRenderedPageBreak/>
        <w:t>3</w:t>
      </w:r>
      <w:r w:rsidR="00256BD4" w:rsidRPr="00C4755C">
        <w:rPr>
          <w:rFonts w:cs="Times New Roman"/>
          <w:b/>
          <w:i/>
          <w:szCs w:val="24"/>
        </w:rPr>
        <w:t xml:space="preserve">) </w:t>
      </w:r>
      <w:r w:rsidR="00E7313C" w:rsidRPr="00C4755C">
        <w:rPr>
          <w:rFonts w:cs="Times New Roman"/>
          <w:b/>
          <w:i/>
          <w:szCs w:val="24"/>
        </w:rPr>
        <w:t>Skrócenie terminów zapłaty w transakcjach</w:t>
      </w:r>
      <w:r w:rsidR="004A2069" w:rsidRPr="00C4755C">
        <w:rPr>
          <w:rFonts w:cs="Times New Roman"/>
          <w:b/>
          <w:i/>
          <w:szCs w:val="24"/>
        </w:rPr>
        <w:t>,</w:t>
      </w:r>
      <w:r w:rsidR="00E7313C" w:rsidRPr="00C4755C">
        <w:rPr>
          <w:rFonts w:cs="Times New Roman"/>
          <w:b/>
          <w:i/>
          <w:szCs w:val="24"/>
        </w:rPr>
        <w:t xml:space="preserve"> w których dłużnikiem jest podmiot publiczny (</w:t>
      </w:r>
      <w:r w:rsidR="00C13052" w:rsidRPr="00C4755C">
        <w:rPr>
          <w:rFonts w:cs="Times New Roman"/>
          <w:b/>
          <w:i/>
          <w:szCs w:val="24"/>
        </w:rPr>
        <w:t>uchylenie art. 8 ust. 3</w:t>
      </w:r>
      <w:r w:rsidR="00E7313C" w:rsidRPr="00C4755C">
        <w:rPr>
          <w:rFonts w:cs="Times New Roman"/>
          <w:b/>
          <w:i/>
          <w:szCs w:val="24"/>
        </w:rPr>
        <w:t>)</w:t>
      </w:r>
    </w:p>
    <w:p w14:paraId="6C852D93" w14:textId="278BD3BD" w:rsidR="0039511A" w:rsidRPr="00C4755C" w:rsidRDefault="0039511A" w:rsidP="008A4755">
      <w:pPr>
        <w:pStyle w:val="ZLITUSTzmustliter"/>
        <w:keepNext/>
        <w:spacing w:before="120"/>
        <w:ind w:left="0" w:firstLine="0"/>
        <w:rPr>
          <w:rFonts w:ascii="Times New Roman" w:hAnsi="Times New Roman" w:cs="Times New Roman"/>
          <w:szCs w:val="24"/>
        </w:rPr>
      </w:pPr>
      <w:r w:rsidRPr="00C4755C">
        <w:rPr>
          <w:rFonts w:ascii="Times New Roman" w:hAnsi="Times New Roman" w:cs="Times New Roman"/>
          <w:szCs w:val="24"/>
        </w:rPr>
        <w:t>Podmiotami publicznymi w rozumieniu przepisu art. 4 pkt</w:t>
      </w:r>
      <w:r w:rsidR="004B4237" w:rsidRPr="00C4755C">
        <w:rPr>
          <w:rFonts w:ascii="Times New Roman" w:hAnsi="Times New Roman" w:cs="Times New Roman"/>
          <w:szCs w:val="24"/>
        </w:rPr>
        <w:t xml:space="preserve"> 2</w:t>
      </w:r>
      <w:r w:rsidRPr="00C4755C">
        <w:rPr>
          <w:rStyle w:val="Odwoanieprzypisudolnego"/>
          <w:rFonts w:ascii="Times New Roman" w:hAnsi="Times New Roman"/>
          <w:szCs w:val="24"/>
        </w:rPr>
        <w:footnoteReference w:id="20"/>
      </w:r>
      <w:r w:rsidR="00312E96" w:rsidRPr="00C4755C">
        <w:rPr>
          <w:rFonts w:ascii="Times New Roman" w:hAnsi="Times New Roman" w:cs="Times New Roman"/>
          <w:szCs w:val="24"/>
          <w:vertAlign w:val="superscript"/>
        </w:rPr>
        <w:t>)</w:t>
      </w:r>
      <w:r w:rsidRPr="00C4755C">
        <w:rPr>
          <w:rFonts w:ascii="Times New Roman" w:hAnsi="Times New Roman" w:cs="Times New Roman"/>
          <w:szCs w:val="24"/>
        </w:rPr>
        <w:t xml:space="preserve"> ustawy są:</w:t>
      </w:r>
    </w:p>
    <w:p w14:paraId="4C325990" w14:textId="10210C52" w:rsidR="0039511A" w:rsidRPr="00C4755C" w:rsidRDefault="0039511A" w:rsidP="008A4755">
      <w:pPr>
        <w:widowControl/>
        <w:numPr>
          <w:ilvl w:val="0"/>
          <w:numId w:val="3"/>
        </w:numPr>
        <w:tabs>
          <w:tab w:val="left" w:pos="336"/>
        </w:tabs>
        <w:autoSpaceDE/>
        <w:autoSpaceDN/>
        <w:adjustRightInd/>
        <w:ind w:left="336" w:hanging="308"/>
        <w:jc w:val="both"/>
        <w:rPr>
          <w:rFonts w:cs="Times New Roman"/>
          <w:szCs w:val="24"/>
        </w:rPr>
      </w:pPr>
      <w:r w:rsidRPr="00C4755C">
        <w:rPr>
          <w:rFonts w:cs="Times New Roman"/>
          <w:szCs w:val="24"/>
        </w:rPr>
        <w:t>jednostki sektora finansów publicznych w rozumieniu przepisów o finansach publicznych;</w:t>
      </w:r>
    </w:p>
    <w:p w14:paraId="42A2B836" w14:textId="53771385" w:rsidR="0039511A" w:rsidRPr="00C4755C" w:rsidRDefault="0039511A" w:rsidP="008A4755">
      <w:pPr>
        <w:widowControl/>
        <w:numPr>
          <w:ilvl w:val="0"/>
          <w:numId w:val="3"/>
        </w:numPr>
        <w:tabs>
          <w:tab w:val="left" w:pos="336"/>
        </w:tabs>
        <w:autoSpaceDE/>
        <w:autoSpaceDN/>
        <w:adjustRightInd/>
        <w:ind w:left="336" w:hanging="308"/>
        <w:jc w:val="both"/>
        <w:rPr>
          <w:rFonts w:cs="Times New Roman"/>
          <w:szCs w:val="24"/>
        </w:rPr>
      </w:pPr>
      <w:r w:rsidRPr="00C4755C">
        <w:rPr>
          <w:rFonts w:cs="Times New Roman"/>
          <w:szCs w:val="24"/>
        </w:rPr>
        <w:t>inne, niż określone w pkt 1, państwowe jednostki organizacyjne nieposiadające osobowości prawnej;</w:t>
      </w:r>
    </w:p>
    <w:p w14:paraId="7781D3B8" w14:textId="1A34C8DC" w:rsidR="0039511A" w:rsidRPr="00C4755C" w:rsidRDefault="0039511A" w:rsidP="008A4755">
      <w:pPr>
        <w:widowControl/>
        <w:numPr>
          <w:ilvl w:val="0"/>
          <w:numId w:val="3"/>
        </w:numPr>
        <w:tabs>
          <w:tab w:val="left" w:pos="336"/>
        </w:tabs>
        <w:autoSpaceDE/>
        <w:autoSpaceDN/>
        <w:adjustRightInd/>
        <w:ind w:left="336" w:hanging="308"/>
        <w:jc w:val="both"/>
        <w:rPr>
          <w:rFonts w:cs="Times New Roman"/>
          <w:szCs w:val="24"/>
        </w:rPr>
      </w:pPr>
      <w:r w:rsidRPr="00C4755C">
        <w:rPr>
          <w:rFonts w:cs="Times New Roman"/>
          <w:szCs w:val="24"/>
        </w:rPr>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4AA42D75" w14:textId="6981F1B1" w:rsidR="0039511A" w:rsidRPr="00C4755C" w:rsidRDefault="000C61F4" w:rsidP="008A4755">
      <w:pPr>
        <w:widowControl/>
        <w:numPr>
          <w:ilvl w:val="0"/>
          <w:numId w:val="4"/>
        </w:numPr>
        <w:autoSpaceDE/>
        <w:autoSpaceDN/>
        <w:adjustRightInd/>
        <w:ind w:left="348" w:hanging="12"/>
        <w:jc w:val="both"/>
        <w:rPr>
          <w:rFonts w:cs="Times New Roman"/>
          <w:szCs w:val="24"/>
        </w:rPr>
      </w:pPr>
      <w:r w:rsidRPr="00C4755C">
        <w:rPr>
          <w:rFonts w:cs="Times New Roman"/>
          <w:szCs w:val="24"/>
        </w:rPr>
        <w:t>finansują je w ponad 50% lub</w:t>
      </w:r>
    </w:p>
    <w:p w14:paraId="1770C5D6" w14:textId="6B758BFB" w:rsidR="0039511A" w:rsidRPr="00C4755C" w:rsidRDefault="0039511A" w:rsidP="008A4755">
      <w:pPr>
        <w:widowControl/>
        <w:numPr>
          <w:ilvl w:val="0"/>
          <w:numId w:val="4"/>
        </w:numPr>
        <w:autoSpaceDE/>
        <w:autoSpaceDN/>
        <w:adjustRightInd/>
        <w:ind w:left="348" w:hanging="12"/>
        <w:jc w:val="both"/>
        <w:rPr>
          <w:rFonts w:cs="Times New Roman"/>
          <w:szCs w:val="24"/>
        </w:rPr>
      </w:pPr>
      <w:r w:rsidRPr="00C4755C">
        <w:rPr>
          <w:rFonts w:cs="Times New Roman"/>
          <w:szCs w:val="24"/>
        </w:rPr>
        <w:t xml:space="preserve">posiadają ponad </w:t>
      </w:r>
      <w:r w:rsidR="000C61F4" w:rsidRPr="00C4755C">
        <w:rPr>
          <w:rFonts w:cs="Times New Roman"/>
          <w:szCs w:val="24"/>
        </w:rPr>
        <w:t>połowę udziałów albo akcji, lub</w:t>
      </w:r>
    </w:p>
    <w:p w14:paraId="5C625E89" w14:textId="59FB27A0" w:rsidR="0039511A" w:rsidRPr="00C4755C" w:rsidRDefault="0039511A" w:rsidP="008A4755">
      <w:pPr>
        <w:widowControl/>
        <w:numPr>
          <w:ilvl w:val="0"/>
          <w:numId w:val="4"/>
        </w:numPr>
        <w:autoSpaceDE/>
        <w:autoSpaceDN/>
        <w:adjustRightInd/>
        <w:ind w:left="348" w:hanging="12"/>
        <w:jc w:val="both"/>
        <w:rPr>
          <w:rFonts w:cs="Times New Roman"/>
          <w:szCs w:val="24"/>
        </w:rPr>
      </w:pPr>
      <w:r w:rsidRPr="00C4755C">
        <w:rPr>
          <w:rFonts w:cs="Times New Roman"/>
          <w:szCs w:val="24"/>
        </w:rPr>
        <w:t>sprawują nadzór</w:t>
      </w:r>
      <w:r w:rsidR="000C61F4" w:rsidRPr="00C4755C">
        <w:rPr>
          <w:rFonts w:cs="Times New Roman"/>
          <w:szCs w:val="24"/>
        </w:rPr>
        <w:t xml:space="preserve"> nad organem zarządzającym, lub</w:t>
      </w:r>
    </w:p>
    <w:p w14:paraId="44D185A9" w14:textId="1DFA4C33" w:rsidR="0039511A" w:rsidRPr="00C4755C" w:rsidRDefault="0039511A" w:rsidP="008A4755">
      <w:pPr>
        <w:widowControl/>
        <w:numPr>
          <w:ilvl w:val="0"/>
          <w:numId w:val="4"/>
        </w:numPr>
        <w:autoSpaceDE/>
        <w:autoSpaceDN/>
        <w:adjustRightInd/>
        <w:ind w:left="708" w:hanging="372"/>
        <w:jc w:val="both"/>
        <w:rPr>
          <w:rFonts w:cs="Times New Roman"/>
          <w:szCs w:val="24"/>
        </w:rPr>
      </w:pPr>
      <w:r w:rsidRPr="00C4755C">
        <w:rPr>
          <w:rFonts w:cs="Times New Roman"/>
          <w:szCs w:val="24"/>
        </w:rPr>
        <w:t>mają prawo do powoływania ponad połowy składu organu</w:t>
      </w:r>
      <w:r w:rsidR="000C61F4" w:rsidRPr="00C4755C">
        <w:rPr>
          <w:rFonts w:cs="Times New Roman"/>
          <w:szCs w:val="24"/>
        </w:rPr>
        <w:t xml:space="preserve"> nadzorczego lub zarządzającego</w:t>
      </w:r>
    </w:p>
    <w:p w14:paraId="512DD3EB" w14:textId="7AFAFBC3" w:rsidR="0039511A" w:rsidRPr="00C4755C" w:rsidRDefault="0039511A" w:rsidP="00C4755C">
      <w:pPr>
        <w:spacing w:before="120"/>
        <w:jc w:val="both"/>
        <w:rPr>
          <w:rFonts w:cs="Times New Roman"/>
          <w:szCs w:val="24"/>
        </w:rPr>
      </w:pPr>
      <w:r w:rsidRPr="00C4755C">
        <w:rPr>
          <w:rFonts w:cs="Times New Roman"/>
          <w:szCs w:val="24"/>
        </w:rPr>
        <w:t xml:space="preserve">– o ile </w:t>
      </w:r>
      <w:r w:rsidR="003545B9" w:rsidRPr="00C4755C">
        <w:rPr>
          <w:rFonts w:cs="Times New Roman"/>
          <w:szCs w:val="24"/>
        </w:rPr>
        <w:t xml:space="preserve">taka </w:t>
      </w:r>
      <w:r w:rsidRPr="00C4755C">
        <w:rPr>
          <w:rFonts w:cs="Times New Roman"/>
          <w:szCs w:val="24"/>
        </w:rPr>
        <w:t>osoba prawna nie działa w zwykłych warunkach rynkowych, jej celem nie jest wypracowanie zysku i nie ponosi strat wynikających z prowadzenia działalności.</w:t>
      </w:r>
    </w:p>
    <w:p w14:paraId="0BF82810" w14:textId="07C18523" w:rsidR="0039511A" w:rsidRPr="00C4755C" w:rsidRDefault="00DD237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obecnym stanie prawnym, w transakcjach</w:t>
      </w:r>
      <w:r w:rsidR="00090C49" w:rsidRPr="00C4755C">
        <w:rPr>
          <w:rFonts w:ascii="Times New Roman" w:hAnsi="Times New Roman" w:cs="Times New Roman"/>
          <w:szCs w:val="24"/>
        </w:rPr>
        <w:t xml:space="preserve"> handlowych</w:t>
      </w:r>
      <w:r w:rsidRPr="00C4755C">
        <w:rPr>
          <w:rFonts w:ascii="Times New Roman" w:hAnsi="Times New Roman" w:cs="Times New Roman"/>
          <w:szCs w:val="24"/>
        </w:rPr>
        <w:t>, w których dłużnikiem jest podmiot publiczny niebędący podmiotem leczniczym, możliwe jest</w:t>
      </w:r>
      <w:r w:rsidR="0039511A" w:rsidRPr="00C4755C">
        <w:rPr>
          <w:rFonts w:ascii="Times New Roman" w:hAnsi="Times New Roman" w:cs="Times New Roman"/>
          <w:szCs w:val="24"/>
        </w:rPr>
        <w:t xml:space="preserve"> wydłużenie terminu zapłaty z podstawowego 30-dniowego</w:t>
      </w:r>
      <w:r w:rsidRPr="00C4755C">
        <w:rPr>
          <w:rFonts w:ascii="Times New Roman" w:hAnsi="Times New Roman" w:cs="Times New Roman"/>
          <w:szCs w:val="24"/>
        </w:rPr>
        <w:t xml:space="preserve"> </w:t>
      </w:r>
      <w:r w:rsidR="0039511A" w:rsidRPr="00C4755C">
        <w:rPr>
          <w:rFonts w:ascii="Times New Roman" w:hAnsi="Times New Roman" w:cs="Times New Roman"/>
          <w:szCs w:val="24"/>
        </w:rPr>
        <w:t xml:space="preserve">do </w:t>
      </w:r>
      <w:r w:rsidRPr="00C4755C">
        <w:rPr>
          <w:rFonts w:ascii="Times New Roman" w:hAnsi="Times New Roman" w:cs="Times New Roman"/>
          <w:szCs w:val="24"/>
        </w:rPr>
        <w:t>60-dniowego</w:t>
      </w:r>
      <w:r w:rsidR="0039511A" w:rsidRPr="00C4755C">
        <w:rPr>
          <w:rFonts w:ascii="Times New Roman" w:hAnsi="Times New Roman" w:cs="Times New Roman"/>
          <w:szCs w:val="24"/>
        </w:rPr>
        <w:t>, po</w:t>
      </w:r>
      <w:r w:rsidR="001250F9" w:rsidRPr="00C4755C">
        <w:rPr>
          <w:rFonts w:ascii="Times New Roman" w:hAnsi="Times New Roman" w:cs="Times New Roman"/>
          <w:szCs w:val="24"/>
        </w:rPr>
        <w:t>d warunkiem ż</w:t>
      </w:r>
      <w:r w:rsidR="004B4237" w:rsidRPr="00C4755C">
        <w:rPr>
          <w:rFonts w:ascii="Times New Roman" w:hAnsi="Times New Roman" w:cs="Times New Roman"/>
          <w:szCs w:val="24"/>
        </w:rPr>
        <w:t>e jest to obiektywnie uzasadnione właściwością lub szczególnymi elementami umowy.</w:t>
      </w:r>
      <w:r w:rsidR="0039511A" w:rsidRPr="00C4755C">
        <w:rPr>
          <w:rFonts w:ascii="Times New Roman" w:hAnsi="Times New Roman" w:cs="Times New Roman"/>
          <w:szCs w:val="24"/>
        </w:rPr>
        <w:t xml:space="preserve"> </w:t>
      </w:r>
      <w:r w:rsidR="00E77EE8" w:rsidRPr="00C4755C">
        <w:rPr>
          <w:rFonts w:ascii="Times New Roman" w:hAnsi="Times New Roman" w:cs="Times New Roman"/>
          <w:szCs w:val="24"/>
        </w:rPr>
        <w:t xml:space="preserve">Mimo, że </w:t>
      </w:r>
      <w:r w:rsidR="0039511A" w:rsidRPr="00C4755C">
        <w:rPr>
          <w:rFonts w:ascii="Times New Roman" w:hAnsi="Times New Roman" w:cs="Times New Roman"/>
          <w:szCs w:val="24"/>
        </w:rPr>
        <w:t xml:space="preserve">wydłużenie terminu zapłaty z terminu 30 dni do 60 dni jest obwarowane spełnieniem </w:t>
      </w:r>
      <w:r w:rsidR="000D5DCF" w:rsidRPr="00C4755C">
        <w:rPr>
          <w:rFonts w:ascii="Times New Roman" w:hAnsi="Times New Roman" w:cs="Times New Roman"/>
          <w:szCs w:val="24"/>
        </w:rPr>
        <w:t xml:space="preserve">tego </w:t>
      </w:r>
      <w:r w:rsidR="0039511A" w:rsidRPr="00C4755C">
        <w:rPr>
          <w:rFonts w:ascii="Times New Roman" w:hAnsi="Times New Roman" w:cs="Times New Roman"/>
          <w:szCs w:val="24"/>
        </w:rPr>
        <w:t>warunku,</w:t>
      </w:r>
      <w:r w:rsidR="00530064" w:rsidRPr="00C4755C">
        <w:rPr>
          <w:rFonts w:ascii="Times New Roman" w:hAnsi="Times New Roman" w:cs="Times New Roman"/>
          <w:szCs w:val="24"/>
        </w:rPr>
        <w:t xml:space="preserve"> to następuje to zbyt często</w:t>
      </w:r>
      <w:r w:rsidR="0039511A" w:rsidRPr="00C4755C">
        <w:rPr>
          <w:rFonts w:ascii="Times New Roman" w:hAnsi="Times New Roman" w:cs="Times New Roman"/>
          <w:szCs w:val="24"/>
        </w:rPr>
        <w:t>.</w:t>
      </w:r>
    </w:p>
    <w:p w14:paraId="0BF80594" w14:textId="261D57A6" w:rsidR="00CD4FD1" w:rsidRPr="00C4755C" w:rsidRDefault="00CD4FD1"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Należy pamiętać, że</w:t>
      </w:r>
      <w:r w:rsidR="00852658" w:rsidRPr="00C4755C">
        <w:rPr>
          <w:rFonts w:ascii="Times New Roman" w:hAnsi="Times New Roman" w:cs="Times New Roman"/>
          <w:szCs w:val="24"/>
        </w:rPr>
        <w:t xml:space="preserve"> </w:t>
      </w:r>
      <w:r w:rsidRPr="00C4755C">
        <w:rPr>
          <w:rFonts w:ascii="Times New Roman" w:hAnsi="Times New Roman" w:cs="Times New Roman"/>
          <w:szCs w:val="24"/>
        </w:rPr>
        <w:t>terminy zapłaty, o których mowa w ustawie, są liczone od dnia dostarczenia towaru lub wykonania usługi i przedstawienia faktury</w:t>
      </w:r>
      <w:r w:rsidR="00090C49" w:rsidRPr="00C4755C">
        <w:rPr>
          <w:rFonts w:ascii="Times New Roman" w:hAnsi="Times New Roman" w:cs="Times New Roman"/>
          <w:szCs w:val="24"/>
        </w:rPr>
        <w:t xml:space="preserve"> albo rachunku</w:t>
      </w:r>
      <w:r w:rsidRPr="00C4755C">
        <w:rPr>
          <w:rFonts w:ascii="Times New Roman" w:hAnsi="Times New Roman" w:cs="Times New Roman"/>
          <w:szCs w:val="24"/>
        </w:rPr>
        <w:t>. Nie ma zatem powodu, aby podmioty publiczne zwleka</w:t>
      </w:r>
      <w:r w:rsidR="009B2356" w:rsidRPr="00C4755C">
        <w:rPr>
          <w:rFonts w:ascii="Times New Roman" w:hAnsi="Times New Roman" w:cs="Times New Roman"/>
          <w:szCs w:val="24"/>
        </w:rPr>
        <w:t>ły z zapłatą aż dwa miesiące. W</w:t>
      </w:r>
      <w:r w:rsidR="00C4755C">
        <w:rPr>
          <w:rFonts w:ascii="Times New Roman" w:hAnsi="Times New Roman" w:cs="Times New Roman"/>
          <w:szCs w:val="24"/>
        </w:rPr>
        <w:t xml:space="preserve"> </w:t>
      </w:r>
      <w:r w:rsidRPr="00C4755C">
        <w:rPr>
          <w:rFonts w:ascii="Times New Roman" w:hAnsi="Times New Roman" w:cs="Times New Roman"/>
          <w:szCs w:val="24"/>
        </w:rPr>
        <w:t>przeciwieństwie do przedsiębiorców uczestniczących w wolnorynkowym obrocie gospodarczym, podmioty publiczne</w:t>
      </w:r>
      <w:r w:rsidR="00090C49" w:rsidRPr="00C4755C">
        <w:rPr>
          <w:rFonts w:ascii="Times New Roman" w:hAnsi="Times New Roman" w:cs="Times New Roman"/>
          <w:szCs w:val="24"/>
        </w:rPr>
        <w:t xml:space="preserve"> są zwykle ostatecznymi odbiorcami</w:t>
      </w:r>
      <w:r w:rsidRPr="00C4755C">
        <w:rPr>
          <w:rFonts w:ascii="Times New Roman" w:hAnsi="Times New Roman" w:cs="Times New Roman"/>
          <w:szCs w:val="24"/>
        </w:rPr>
        <w:t xml:space="preserve"> nabywa</w:t>
      </w:r>
      <w:r w:rsidR="00090C49" w:rsidRPr="00C4755C">
        <w:rPr>
          <w:rFonts w:ascii="Times New Roman" w:hAnsi="Times New Roman" w:cs="Times New Roman"/>
          <w:szCs w:val="24"/>
        </w:rPr>
        <w:t>nych</w:t>
      </w:r>
      <w:r w:rsidRPr="00C4755C">
        <w:rPr>
          <w:rFonts w:ascii="Times New Roman" w:hAnsi="Times New Roman" w:cs="Times New Roman"/>
          <w:szCs w:val="24"/>
        </w:rPr>
        <w:t xml:space="preserve"> </w:t>
      </w:r>
      <w:r w:rsidRPr="00C4755C">
        <w:rPr>
          <w:rFonts w:ascii="Times New Roman" w:hAnsi="Times New Roman" w:cs="Times New Roman"/>
          <w:szCs w:val="24"/>
        </w:rPr>
        <w:lastRenderedPageBreak/>
        <w:t>towar</w:t>
      </w:r>
      <w:r w:rsidR="00090C49" w:rsidRPr="00C4755C">
        <w:rPr>
          <w:rFonts w:ascii="Times New Roman" w:hAnsi="Times New Roman" w:cs="Times New Roman"/>
          <w:szCs w:val="24"/>
        </w:rPr>
        <w:t>ów</w:t>
      </w:r>
      <w:r w:rsidRPr="00C4755C">
        <w:rPr>
          <w:rFonts w:ascii="Times New Roman" w:hAnsi="Times New Roman" w:cs="Times New Roman"/>
          <w:szCs w:val="24"/>
        </w:rPr>
        <w:t xml:space="preserve"> i usług</w:t>
      </w:r>
      <w:r w:rsidR="00090C49" w:rsidRPr="00C4755C">
        <w:rPr>
          <w:rFonts w:ascii="Times New Roman" w:hAnsi="Times New Roman" w:cs="Times New Roman"/>
          <w:szCs w:val="24"/>
        </w:rPr>
        <w:t xml:space="preserve">. </w:t>
      </w:r>
      <w:r w:rsidR="001A50B7" w:rsidRPr="00C4755C">
        <w:rPr>
          <w:rFonts w:ascii="Times New Roman" w:hAnsi="Times New Roman" w:cs="Times New Roman"/>
          <w:szCs w:val="24"/>
        </w:rPr>
        <w:t xml:space="preserve">Najczęściej dokonują </w:t>
      </w:r>
      <w:r w:rsidR="00090C49" w:rsidRPr="00C4755C">
        <w:rPr>
          <w:rFonts w:ascii="Times New Roman" w:hAnsi="Times New Roman" w:cs="Times New Roman"/>
          <w:szCs w:val="24"/>
        </w:rPr>
        <w:t>bowiem zakupów</w:t>
      </w:r>
      <w:r w:rsidRPr="00C4755C">
        <w:rPr>
          <w:rFonts w:ascii="Times New Roman" w:hAnsi="Times New Roman" w:cs="Times New Roman"/>
          <w:szCs w:val="24"/>
        </w:rPr>
        <w:t xml:space="preserve"> na własne potrzeby albo</w:t>
      </w:r>
      <w:r w:rsidR="00090C49" w:rsidRPr="00C4755C">
        <w:rPr>
          <w:rFonts w:ascii="Times New Roman" w:hAnsi="Times New Roman" w:cs="Times New Roman"/>
          <w:szCs w:val="24"/>
        </w:rPr>
        <w:t xml:space="preserve"> w celu przekazania społeczności lokalnej, </w:t>
      </w:r>
      <w:r w:rsidR="00A133BB" w:rsidRPr="00C4755C">
        <w:rPr>
          <w:rFonts w:ascii="Times New Roman" w:hAnsi="Times New Roman" w:cs="Times New Roman"/>
          <w:szCs w:val="24"/>
        </w:rPr>
        <w:t xml:space="preserve">zwykle </w:t>
      </w:r>
      <w:r w:rsidR="00090C49" w:rsidRPr="00C4755C">
        <w:rPr>
          <w:rFonts w:ascii="Times New Roman" w:hAnsi="Times New Roman" w:cs="Times New Roman"/>
          <w:szCs w:val="24"/>
        </w:rPr>
        <w:t>nieo</w:t>
      </w:r>
      <w:r w:rsidR="00AD2583" w:rsidRPr="00C4755C">
        <w:rPr>
          <w:rFonts w:ascii="Times New Roman" w:hAnsi="Times New Roman" w:cs="Times New Roman"/>
          <w:szCs w:val="24"/>
        </w:rPr>
        <w:t>d</w:t>
      </w:r>
      <w:r w:rsidR="00090C49" w:rsidRPr="00C4755C">
        <w:rPr>
          <w:rFonts w:ascii="Times New Roman" w:hAnsi="Times New Roman" w:cs="Times New Roman"/>
          <w:szCs w:val="24"/>
        </w:rPr>
        <w:t>płatnie. Po</w:t>
      </w:r>
      <w:r w:rsidR="004A2069" w:rsidRPr="00C4755C">
        <w:rPr>
          <w:rFonts w:ascii="Times New Roman" w:hAnsi="Times New Roman" w:cs="Times New Roman"/>
          <w:szCs w:val="24"/>
        </w:rPr>
        <w:t>d</w:t>
      </w:r>
      <w:r w:rsidR="00090C49" w:rsidRPr="00C4755C">
        <w:rPr>
          <w:rFonts w:ascii="Times New Roman" w:hAnsi="Times New Roman" w:cs="Times New Roman"/>
          <w:szCs w:val="24"/>
        </w:rPr>
        <w:t xml:space="preserve">mioty publiczne </w:t>
      </w:r>
      <w:r w:rsidR="00E233E0" w:rsidRPr="00C4755C">
        <w:rPr>
          <w:rFonts w:ascii="Times New Roman" w:hAnsi="Times New Roman" w:cs="Times New Roman"/>
          <w:szCs w:val="24"/>
        </w:rPr>
        <w:t>jedynie sporadycznie</w:t>
      </w:r>
      <w:r w:rsidRPr="00C4755C">
        <w:rPr>
          <w:rFonts w:ascii="Times New Roman" w:hAnsi="Times New Roman" w:cs="Times New Roman"/>
          <w:szCs w:val="24"/>
        </w:rPr>
        <w:t xml:space="preserve"> uczestniczą</w:t>
      </w:r>
      <w:r w:rsidR="00090C49" w:rsidRPr="00C4755C">
        <w:rPr>
          <w:rFonts w:ascii="Times New Roman" w:hAnsi="Times New Roman" w:cs="Times New Roman"/>
          <w:szCs w:val="24"/>
        </w:rPr>
        <w:t xml:space="preserve"> </w:t>
      </w:r>
      <w:r w:rsidRPr="00C4755C">
        <w:rPr>
          <w:rFonts w:ascii="Times New Roman" w:hAnsi="Times New Roman" w:cs="Times New Roman"/>
          <w:szCs w:val="24"/>
        </w:rPr>
        <w:t xml:space="preserve">w „łańcuchu” relacji handlowych, </w:t>
      </w:r>
      <w:r w:rsidR="00E233E0" w:rsidRPr="00C4755C">
        <w:rPr>
          <w:rFonts w:ascii="Times New Roman" w:hAnsi="Times New Roman" w:cs="Times New Roman"/>
          <w:szCs w:val="24"/>
        </w:rPr>
        <w:t>w którym u</w:t>
      </w:r>
      <w:r w:rsidR="00090C49" w:rsidRPr="00C4755C">
        <w:rPr>
          <w:rFonts w:ascii="Times New Roman" w:hAnsi="Times New Roman" w:cs="Times New Roman"/>
          <w:szCs w:val="24"/>
        </w:rPr>
        <w:t>zyskują środk</w:t>
      </w:r>
      <w:r w:rsidR="00E233E0" w:rsidRPr="00C4755C">
        <w:rPr>
          <w:rFonts w:ascii="Times New Roman" w:hAnsi="Times New Roman" w:cs="Times New Roman"/>
          <w:szCs w:val="24"/>
        </w:rPr>
        <w:t xml:space="preserve">i </w:t>
      </w:r>
      <w:r w:rsidR="00090C49" w:rsidRPr="00C4755C">
        <w:rPr>
          <w:rFonts w:ascii="Times New Roman" w:hAnsi="Times New Roman" w:cs="Times New Roman"/>
          <w:szCs w:val="24"/>
        </w:rPr>
        <w:t>na sfinansowanie zakupów od swoich klientów</w:t>
      </w:r>
      <w:r w:rsidRPr="00C4755C">
        <w:rPr>
          <w:rFonts w:ascii="Times New Roman" w:hAnsi="Times New Roman" w:cs="Times New Roman"/>
          <w:szCs w:val="24"/>
        </w:rPr>
        <w:t xml:space="preserve">. Nie ma zatem powodu, aby przedsiębiorcy dostarczający do </w:t>
      </w:r>
      <w:r w:rsidR="002327CB" w:rsidRPr="00C4755C">
        <w:rPr>
          <w:rFonts w:ascii="Times New Roman" w:hAnsi="Times New Roman" w:cs="Times New Roman"/>
          <w:szCs w:val="24"/>
        </w:rPr>
        <w:t>podmiotów</w:t>
      </w:r>
      <w:r w:rsidRPr="00C4755C">
        <w:rPr>
          <w:rFonts w:ascii="Times New Roman" w:hAnsi="Times New Roman" w:cs="Times New Roman"/>
          <w:szCs w:val="24"/>
        </w:rPr>
        <w:t xml:space="preserve"> publicznych</w:t>
      </w:r>
      <w:r w:rsidR="002327CB" w:rsidRPr="00C4755C">
        <w:rPr>
          <w:rFonts w:ascii="Times New Roman" w:hAnsi="Times New Roman" w:cs="Times New Roman"/>
          <w:szCs w:val="24"/>
        </w:rPr>
        <w:t xml:space="preserve"> towary lub wykonujące na ich rzecz usługi </w:t>
      </w:r>
      <w:r w:rsidR="00BB268F" w:rsidRPr="00C4755C">
        <w:rPr>
          <w:rFonts w:ascii="Times New Roman" w:hAnsi="Times New Roman" w:cs="Times New Roman"/>
          <w:szCs w:val="24"/>
        </w:rPr>
        <w:t>byli narażeni na zbyt długie terminy zapłaty.</w:t>
      </w:r>
    </w:p>
    <w:p w14:paraId="030EA0D0" w14:textId="27D6A55C" w:rsidR="0039511A" w:rsidRPr="00C4755C" w:rsidRDefault="0039511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Należy</w:t>
      </w:r>
      <w:r w:rsidR="004A2069" w:rsidRPr="00C4755C">
        <w:rPr>
          <w:rFonts w:ascii="Times New Roman" w:hAnsi="Times New Roman" w:cs="Times New Roman"/>
          <w:szCs w:val="24"/>
        </w:rPr>
        <w:t xml:space="preserve"> również</w:t>
      </w:r>
      <w:r w:rsidRPr="00C4755C">
        <w:rPr>
          <w:rFonts w:ascii="Times New Roman" w:hAnsi="Times New Roman" w:cs="Times New Roman"/>
          <w:szCs w:val="24"/>
        </w:rPr>
        <w:t xml:space="preserve"> zauważyć, że podmioty publiczne (w szczególności jednostki sektora finansów publicznych) korzystają z bardziej przewidywalnych, bezpiecznych i trwałych źródeł dochodów (środki budżetowe)</w:t>
      </w:r>
      <w:r w:rsidR="004A2069" w:rsidRPr="00C4755C">
        <w:rPr>
          <w:rFonts w:ascii="Times New Roman" w:hAnsi="Times New Roman" w:cs="Times New Roman"/>
          <w:szCs w:val="24"/>
        </w:rPr>
        <w:t xml:space="preserve"> niż podmioty prywatne</w:t>
      </w:r>
      <w:r w:rsidRPr="00C4755C">
        <w:rPr>
          <w:rFonts w:ascii="Times New Roman" w:hAnsi="Times New Roman" w:cs="Times New Roman"/>
          <w:szCs w:val="24"/>
        </w:rPr>
        <w:t>, warunki zaś dostępu do finansowania niejednokrotnie s</w:t>
      </w:r>
      <w:r w:rsidR="00FE0399" w:rsidRPr="00C4755C">
        <w:rPr>
          <w:rFonts w:ascii="Times New Roman" w:hAnsi="Times New Roman" w:cs="Times New Roman"/>
          <w:szCs w:val="24"/>
        </w:rPr>
        <w:t xml:space="preserve">ą o wiele atrakcyjniejsze niż w </w:t>
      </w:r>
      <w:r w:rsidRPr="00C4755C">
        <w:rPr>
          <w:rFonts w:ascii="Times New Roman" w:hAnsi="Times New Roman" w:cs="Times New Roman"/>
          <w:szCs w:val="24"/>
        </w:rPr>
        <w:t>przypadku przedsiębiorców. Przedsiębiorcy zawierający umowy z podmiotami publicznymi powinni mieć zatem zagwarantowaną pewną i szybką płatność za dostarczane towary lub świadczone usługi.</w:t>
      </w:r>
    </w:p>
    <w:p w14:paraId="53304D4D" w14:textId="3A46C304" w:rsidR="00AE488B" w:rsidRPr="00C4755C" w:rsidRDefault="004A2069"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związku z powyższym</w:t>
      </w:r>
      <w:r w:rsidR="000A2B4E" w:rsidRPr="00C4755C">
        <w:rPr>
          <w:rFonts w:ascii="Times New Roman" w:hAnsi="Times New Roman" w:cs="Times New Roman"/>
          <w:szCs w:val="24"/>
        </w:rPr>
        <w:t xml:space="preserve"> proponuje się, aby sektor publiczny dokonywał płatności nie później niż w terminie 30-dnio</w:t>
      </w:r>
      <w:r w:rsidR="00530064" w:rsidRPr="00C4755C">
        <w:rPr>
          <w:rFonts w:ascii="Times New Roman" w:hAnsi="Times New Roman" w:cs="Times New Roman"/>
          <w:szCs w:val="24"/>
        </w:rPr>
        <w:t xml:space="preserve">wym, bez możliwości wydłużenia, </w:t>
      </w:r>
      <w:r w:rsidR="000A2B4E" w:rsidRPr="00C4755C">
        <w:rPr>
          <w:rFonts w:ascii="Times New Roman" w:hAnsi="Times New Roman" w:cs="Times New Roman"/>
          <w:szCs w:val="24"/>
        </w:rPr>
        <w:t>z wyjątkiem podmiotów leczniczych, dla których pozostawiony ma być termin 60 dni</w:t>
      </w:r>
      <w:r w:rsidR="000A2B4E" w:rsidRPr="00C4755C">
        <w:rPr>
          <w:rStyle w:val="Odwoanieprzypisudolnego"/>
          <w:rFonts w:ascii="Times New Roman" w:hAnsi="Times New Roman"/>
          <w:szCs w:val="24"/>
        </w:rPr>
        <w:footnoteReference w:id="21"/>
      </w:r>
      <w:r w:rsidR="00312E96" w:rsidRPr="00C4755C">
        <w:rPr>
          <w:rFonts w:ascii="Times New Roman" w:hAnsi="Times New Roman" w:cs="Times New Roman"/>
          <w:szCs w:val="24"/>
          <w:vertAlign w:val="superscript"/>
        </w:rPr>
        <w:t>)</w:t>
      </w:r>
      <w:r w:rsidR="00530064" w:rsidRPr="00C4755C">
        <w:rPr>
          <w:rFonts w:ascii="Times New Roman" w:hAnsi="Times New Roman" w:cs="Times New Roman"/>
          <w:szCs w:val="24"/>
        </w:rPr>
        <w:t xml:space="preserve"> (uchylany art. 8 ust. 3)</w:t>
      </w:r>
      <w:r w:rsidR="000A2B4E" w:rsidRPr="00C4755C">
        <w:rPr>
          <w:rFonts w:ascii="Times New Roman" w:hAnsi="Times New Roman" w:cs="Times New Roman"/>
          <w:szCs w:val="24"/>
        </w:rPr>
        <w:t>.</w:t>
      </w:r>
    </w:p>
    <w:p w14:paraId="1F1DF063" w14:textId="5FCB94D3" w:rsidR="00634868" w:rsidRPr="00C4755C" w:rsidRDefault="00634868" w:rsidP="00C4755C">
      <w:pPr>
        <w:spacing w:before="120"/>
        <w:jc w:val="both"/>
        <w:rPr>
          <w:rFonts w:eastAsia="Calibri" w:cs="Times New Roman"/>
          <w:szCs w:val="24"/>
          <w:lang w:eastAsia="en-US"/>
        </w:rPr>
      </w:pPr>
      <w:r w:rsidRPr="00C4755C">
        <w:rPr>
          <w:rFonts w:eastAsia="Calibri" w:cs="Times New Roman"/>
          <w:szCs w:val="24"/>
          <w:lang w:eastAsia="en-US"/>
        </w:rPr>
        <w:t xml:space="preserve">W </w:t>
      </w:r>
      <w:r w:rsidRPr="00C4755C">
        <w:rPr>
          <w:rFonts w:eastAsia="Calibri" w:cs="Times New Roman"/>
          <w:i/>
          <w:szCs w:val="24"/>
          <w:lang w:eastAsia="en-US"/>
        </w:rPr>
        <w:t>dyrektywie Parlamentu Europejskiego i Rady 2011/7/UE w sprawie zwalczania opóźnień w płatnościach w</w:t>
      </w:r>
      <w:r w:rsidR="00170DEB" w:rsidRPr="00C4755C">
        <w:rPr>
          <w:rFonts w:eastAsia="Calibri" w:cs="Times New Roman"/>
          <w:i/>
          <w:szCs w:val="24"/>
          <w:lang w:eastAsia="en-US"/>
        </w:rPr>
        <w:t xml:space="preserve"> </w:t>
      </w:r>
      <w:r w:rsidRPr="00C4755C">
        <w:rPr>
          <w:rFonts w:eastAsia="Calibri" w:cs="Times New Roman"/>
          <w:i/>
          <w:szCs w:val="24"/>
          <w:lang w:eastAsia="en-US"/>
        </w:rPr>
        <w:t xml:space="preserve">transakcjach handlowych </w:t>
      </w:r>
      <w:r w:rsidRPr="00C4755C">
        <w:rPr>
          <w:rFonts w:eastAsia="Calibri" w:cs="Times New Roman"/>
          <w:szCs w:val="24"/>
          <w:lang w:eastAsia="en-US"/>
        </w:rPr>
        <w:t>dostrzeżono szczególny charakter podmiotów leczniczych. Dyrektywa dopuszcza dłuższe terminy zapłaty dla podmiotów leczniczych, podkreśla szczególny charakter świadczeń zdrowotnych i potrzebę zapewnienia równowagi pomiędzy potrzebami indywidualnego pacjenta a</w:t>
      </w:r>
      <w:r w:rsidR="00170DEB" w:rsidRPr="00C4755C">
        <w:rPr>
          <w:rFonts w:eastAsia="Calibri" w:cs="Times New Roman"/>
          <w:szCs w:val="24"/>
          <w:lang w:eastAsia="en-US"/>
        </w:rPr>
        <w:t xml:space="preserve"> </w:t>
      </w:r>
      <w:r w:rsidRPr="00C4755C">
        <w:rPr>
          <w:rFonts w:eastAsia="Calibri" w:cs="Times New Roman"/>
          <w:szCs w:val="24"/>
          <w:lang w:eastAsia="en-US"/>
        </w:rPr>
        <w:t>dostępnymi zasobami finansowymi. W tym kontekście warto przywołać motyw 25 dyrektywy podkreślający dyspozycję państw członkowskich w określeniu priorytetów w dziedzinie opieki zdrowotnej. Motyw ten wprost uzasadnia kompetencję państw członkowskich do wprowadzenia bardziej elastycznych regulacji dla podmiotów leczniczych niż wobec pozostałych podmiotów publicznych. Wynika to ze specyfiki usług świadczonych przez sektor ochrony zdrowia, których ostatecznym odbiorc</w:t>
      </w:r>
      <w:r w:rsidR="00CF6012" w:rsidRPr="00C4755C">
        <w:rPr>
          <w:rFonts w:eastAsia="Calibri" w:cs="Times New Roman"/>
          <w:szCs w:val="24"/>
          <w:lang w:eastAsia="en-US"/>
        </w:rPr>
        <w:t>ą</w:t>
      </w:r>
      <w:r w:rsidRPr="00C4755C">
        <w:rPr>
          <w:rFonts w:eastAsia="Calibri" w:cs="Times New Roman"/>
          <w:szCs w:val="24"/>
          <w:lang w:eastAsia="en-US"/>
        </w:rPr>
        <w:t xml:space="preserve"> są pacjenci</w:t>
      </w:r>
      <w:r w:rsidR="00C74C5E">
        <w:rPr>
          <w:rFonts w:eastAsia="Calibri" w:cs="Times New Roman"/>
          <w:szCs w:val="24"/>
          <w:lang w:eastAsia="en-US"/>
        </w:rPr>
        <w:t>,</w:t>
      </w:r>
      <w:r w:rsidRPr="00C4755C">
        <w:rPr>
          <w:rFonts w:eastAsia="Calibri" w:cs="Times New Roman"/>
          <w:szCs w:val="24"/>
          <w:lang w:eastAsia="en-US"/>
        </w:rPr>
        <w:t xml:space="preserve"> oraz szczególnego systemu finansowania charakteryzującego się niezrównoważeniem ponoszonych kosztów osiągniętymi przychodami.</w:t>
      </w:r>
    </w:p>
    <w:p w14:paraId="52A157C5" w14:textId="53D29047" w:rsidR="0074719E" w:rsidRPr="00C4755C" w:rsidRDefault="0074719E"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Konsekwencją powyższej zmiany będzie również odpowiednia modyfikacja art.</w:t>
      </w:r>
      <w:r w:rsidR="00584C51" w:rsidRPr="00C4755C">
        <w:rPr>
          <w:rFonts w:ascii="Times New Roman" w:hAnsi="Times New Roman" w:cs="Times New Roman"/>
          <w:szCs w:val="24"/>
        </w:rPr>
        <w:t xml:space="preserve"> </w:t>
      </w:r>
      <w:r w:rsidRPr="00C4755C">
        <w:rPr>
          <w:rFonts w:ascii="Times New Roman" w:hAnsi="Times New Roman" w:cs="Times New Roman"/>
          <w:szCs w:val="24"/>
        </w:rPr>
        <w:t>8</w:t>
      </w:r>
      <w:r w:rsidR="00584C51" w:rsidRPr="00C4755C">
        <w:rPr>
          <w:rFonts w:ascii="Times New Roman" w:hAnsi="Times New Roman" w:cs="Times New Roman"/>
          <w:szCs w:val="24"/>
        </w:rPr>
        <w:t xml:space="preserve"> </w:t>
      </w:r>
      <w:r w:rsidRPr="00C4755C">
        <w:rPr>
          <w:rFonts w:ascii="Times New Roman" w:hAnsi="Times New Roman" w:cs="Times New Roman"/>
          <w:szCs w:val="24"/>
        </w:rPr>
        <w:t>ust.</w:t>
      </w:r>
      <w:r w:rsidR="00DB59D8">
        <w:rPr>
          <w:rFonts w:ascii="Times New Roman" w:hAnsi="Times New Roman" w:cs="Times New Roman"/>
          <w:szCs w:val="24"/>
        </w:rPr>
        <w:t> </w:t>
      </w:r>
      <w:r w:rsidRPr="00C4755C">
        <w:rPr>
          <w:rFonts w:ascii="Times New Roman" w:hAnsi="Times New Roman" w:cs="Times New Roman"/>
          <w:szCs w:val="24"/>
        </w:rPr>
        <w:t>4</w:t>
      </w:r>
      <w:r w:rsidR="00C4755C">
        <w:rPr>
          <w:rFonts w:ascii="Times New Roman" w:hAnsi="Times New Roman" w:cs="Times New Roman"/>
          <w:szCs w:val="24"/>
        </w:rPr>
        <w:t xml:space="preserve"> </w:t>
      </w:r>
      <w:r w:rsidR="00530064" w:rsidRPr="00C4755C">
        <w:rPr>
          <w:rFonts w:ascii="Times New Roman" w:hAnsi="Times New Roman" w:cs="Times New Roman"/>
          <w:szCs w:val="24"/>
        </w:rPr>
        <w:t>i</w:t>
      </w:r>
      <w:r w:rsidR="00C4755C">
        <w:rPr>
          <w:rFonts w:ascii="Times New Roman" w:hAnsi="Times New Roman" w:cs="Times New Roman"/>
          <w:szCs w:val="24"/>
        </w:rPr>
        <w:t xml:space="preserve"> </w:t>
      </w:r>
      <w:r w:rsidR="00E77EE8" w:rsidRPr="00C4755C">
        <w:rPr>
          <w:rFonts w:ascii="Times New Roman" w:hAnsi="Times New Roman" w:cs="Times New Roman"/>
          <w:szCs w:val="24"/>
        </w:rPr>
        <w:t>ust. 5</w:t>
      </w:r>
      <w:r w:rsidRPr="00C4755C">
        <w:rPr>
          <w:rFonts w:ascii="Times New Roman" w:hAnsi="Times New Roman" w:cs="Times New Roman"/>
          <w:szCs w:val="24"/>
        </w:rPr>
        <w:t>.</w:t>
      </w:r>
    </w:p>
    <w:p w14:paraId="7B866153" w14:textId="1BDDEE20" w:rsidR="00160CBC" w:rsidRPr="00C4755C" w:rsidRDefault="00B159F7" w:rsidP="00C4755C">
      <w:pPr>
        <w:spacing w:before="120"/>
        <w:jc w:val="both"/>
        <w:rPr>
          <w:rFonts w:cs="Times New Roman"/>
          <w:b/>
          <w:i/>
          <w:szCs w:val="24"/>
        </w:rPr>
      </w:pPr>
      <w:r w:rsidRPr="00C4755C">
        <w:rPr>
          <w:rFonts w:cs="Times New Roman"/>
          <w:b/>
          <w:i/>
          <w:szCs w:val="24"/>
        </w:rPr>
        <w:t>4</w:t>
      </w:r>
      <w:r w:rsidR="00E77EE8" w:rsidRPr="00C4755C">
        <w:rPr>
          <w:rFonts w:cs="Times New Roman"/>
          <w:b/>
          <w:i/>
          <w:szCs w:val="24"/>
        </w:rPr>
        <w:t xml:space="preserve">) </w:t>
      </w:r>
      <w:r w:rsidR="00160CBC" w:rsidRPr="00C4755C">
        <w:rPr>
          <w:rFonts w:cs="Times New Roman"/>
          <w:b/>
          <w:i/>
          <w:szCs w:val="24"/>
        </w:rPr>
        <w:t>Skrócen</w:t>
      </w:r>
      <w:r w:rsidR="008B49A3" w:rsidRPr="00C4755C">
        <w:rPr>
          <w:rFonts w:cs="Times New Roman"/>
          <w:b/>
          <w:i/>
          <w:szCs w:val="24"/>
        </w:rPr>
        <w:t>ie terminu zapłaty dłuższego niż 60 dni</w:t>
      </w:r>
      <w:r w:rsidR="00160CBC" w:rsidRPr="00C4755C">
        <w:rPr>
          <w:rFonts w:cs="Times New Roman"/>
          <w:b/>
          <w:i/>
          <w:szCs w:val="24"/>
        </w:rPr>
        <w:t xml:space="preserve"> w transakcjach „asymetrycznych” B2B</w:t>
      </w:r>
      <w:r w:rsidR="008B49A3" w:rsidRPr="00C4755C">
        <w:rPr>
          <w:rFonts w:cs="Times New Roman"/>
          <w:b/>
          <w:i/>
          <w:szCs w:val="24"/>
        </w:rPr>
        <w:t xml:space="preserve"> (art. 7 ust. </w:t>
      </w:r>
      <w:r w:rsidR="00943A82" w:rsidRPr="00C4755C">
        <w:rPr>
          <w:rFonts w:cs="Times New Roman"/>
          <w:b/>
          <w:i/>
          <w:szCs w:val="24"/>
        </w:rPr>
        <w:t>2</w:t>
      </w:r>
      <w:r w:rsidR="00C4755C">
        <w:rPr>
          <w:rFonts w:cs="Times New Roman"/>
          <w:b/>
          <w:i/>
          <w:szCs w:val="24"/>
        </w:rPr>
        <w:t>–</w:t>
      </w:r>
      <w:r w:rsidR="00943A82" w:rsidRPr="00C4755C">
        <w:rPr>
          <w:rFonts w:cs="Times New Roman"/>
          <w:b/>
          <w:i/>
          <w:szCs w:val="24"/>
        </w:rPr>
        <w:t>3</w:t>
      </w:r>
      <w:r w:rsidR="008B49A3" w:rsidRPr="00C4755C">
        <w:rPr>
          <w:rFonts w:cs="Times New Roman"/>
          <w:b/>
          <w:i/>
          <w:szCs w:val="24"/>
        </w:rPr>
        <w:t>)</w:t>
      </w:r>
    </w:p>
    <w:p w14:paraId="65392F9A" w14:textId="7E1173B3" w:rsidR="008B49A3" w:rsidRPr="00C4755C" w:rsidRDefault="00160CBC" w:rsidP="00C4755C">
      <w:pPr>
        <w:spacing w:before="120"/>
        <w:jc w:val="both"/>
        <w:rPr>
          <w:rFonts w:cs="Times New Roman"/>
          <w:szCs w:val="24"/>
        </w:rPr>
      </w:pPr>
      <w:r w:rsidRPr="00C4755C">
        <w:rPr>
          <w:rFonts w:cs="Times New Roman"/>
          <w:szCs w:val="24"/>
        </w:rPr>
        <w:t>Termin zapła</w:t>
      </w:r>
      <w:r w:rsidR="00AE488B" w:rsidRPr="00C4755C">
        <w:rPr>
          <w:rFonts w:cs="Times New Roman"/>
          <w:szCs w:val="24"/>
        </w:rPr>
        <w:t>ty w transakcjach handlowych mię</w:t>
      </w:r>
      <w:r w:rsidRPr="00C4755C">
        <w:rPr>
          <w:rFonts w:cs="Times New Roman"/>
          <w:szCs w:val="24"/>
        </w:rPr>
        <w:t>dzy przedsiębiorcami wynosi co do zasady 60 dni. W obowiązujących przepisach istnieje możliwość wydłużenia tego termin</w:t>
      </w:r>
      <w:r w:rsidR="00530064" w:rsidRPr="00C4755C">
        <w:rPr>
          <w:rFonts w:cs="Times New Roman"/>
          <w:szCs w:val="24"/>
        </w:rPr>
        <w:t>u, jeżeli strony wyraźnie ustalą</w:t>
      </w:r>
      <w:r w:rsidRPr="00C4755C">
        <w:rPr>
          <w:rFonts w:cs="Times New Roman"/>
          <w:szCs w:val="24"/>
        </w:rPr>
        <w:t xml:space="preserve"> tak w umowie i pod warunkiem, że ustalenie to nie jest rażąco nieuczciwe wobec wierzyciela. W związku z występowaniem zjawiska nadmiernie wydłużonych terminów zapłaty, szczególnie względem MŚP, które jako zazw</w:t>
      </w:r>
      <w:r w:rsidR="00A133BB" w:rsidRPr="00C4755C">
        <w:rPr>
          <w:rFonts w:cs="Times New Roman"/>
          <w:szCs w:val="24"/>
        </w:rPr>
        <w:t>yczaj słabsza strona transakcji</w:t>
      </w:r>
      <w:r w:rsidRPr="00C4755C">
        <w:rPr>
          <w:rFonts w:cs="Times New Roman"/>
          <w:szCs w:val="24"/>
        </w:rPr>
        <w:t xml:space="preserve"> zmuszone są przyjmo</w:t>
      </w:r>
      <w:r w:rsidR="008B49A3" w:rsidRPr="00C4755C">
        <w:rPr>
          <w:rFonts w:cs="Times New Roman"/>
          <w:szCs w:val="24"/>
        </w:rPr>
        <w:t xml:space="preserve">wać niekorzystne warunki umowy, w projekcie zaproponowano wprowadzenie sztywnego terminu </w:t>
      </w:r>
      <w:r w:rsidR="00AF7EEE" w:rsidRPr="00C4755C">
        <w:rPr>
          <w:rFonts w:cs="Times New Roman"/>
          <w:szCs w:val="24"/>
        </w:rPr>
        <w:t>(</w:t>
      </w:r>
      <w:r w:rsidR="008B49A3" w:rsidRPr="00C4755C">
        <w:rPr>
          <w:rFonts w:cs="Times New Roman"/>
          <w:szCs w:val="24"/>
        </w:rPr>
        <w:t>60 dni</w:t>
      </w:r>
      <w:r w:rsidR="00AF7EEE" w:rsidRPr="00C4755C">
        <w:rPr>
          <w:rFonts w:cs="Times New Roman"/>
          <w:szCs w:val="24"/>
        </w:rPr>
        <w:t>)</w:t>
      </w:r>
      <w:r w:rsidR="008B49A3" w:rsidRPr="00C4755C">
        <w:rPr>
          <w:rFonts w:cs="Times New Roman"/>
          <w:szCs w:val="24"/>
        </w:rPr>
        <w:t xml:space="preserve"> bez możliwości </w:t>
      </w:r>
      <w:r w:rsidR="00AF7EEE" w:rsidRPr="00C4755C">
        <w:rPr>
          <w:rFonts w:cs="Times New Roman"/>
          <w:szCs w:val="24"/>
        </w:rPr>
        <w:t>wydłużania w</w:t>
      </w:r>
      <w:r w:rsidR="00C4755C">
        <w:rPr>
          <w:rFonts w:cs="Times New Roman"/>
          <w:szCs w:val="24"/>
        </w:rPr>
        <w:t xml:space="preserve"> </w:t>
      </w:r>
      <w:r w:rsidR="008B49A3" w:rsidRPr="00C4755C">
        <w:rPr>
          <w:rFonts w:cs="Times New Roman"/>
          <w:szCs w:val="24"/>
        </w:rPr>
        <w:t xml:space="preserve">transakcjach handlowych, w których dłużnikiem zobowiązanym </w:t>
      </w:r>
      <w:r w:rsidR="0031162F" w:rsidRPr="00C4755C">
        <w:rPr>
          <w:rFonts w:cs="Times New Roman"/>
          <w:szCs w:val="24"/>
        </w:rPr>
        <w:t>do świadczenia pienię</w:t>
      </w:r>
      <w:r w:rsidR="008B49A3" w:rsidRPr="00C4755C">
        <w:rPr>
          <w:rFonts w:cs="Times New Roman"/>
          <w:szCs w:val="24"/>
        </w:rPr>
        <w:t>żnego jest duży przedsiębiorca, a wierzycielem MŚP.</w:t>
      </w:r>
    </w:p>
    <w:p w14:paraId="799D36EA" w14:textId="605BF1E5" w:rsidR="002C2665" w:rsidRPr="00C4755C" w:rsidRDefault="002C2665" w:rsidP="00C4755C">
      <w:pPr>
        <w:spacing w:before="120"/>
        <w:jc w:val="both"/>
        <w:rPr>
          <w:rFonts w:eastAsia="Calibri" w:cs="Times New Roman"/>
          <w:iCs/>
          <w:color w:val="000000"/>
          <w:szCs w:val="24"/>
        </w:rPr>
      </w:pPr>
      <w:r w:rsidRPr="00C4755C">
        <w:rPr>
          <w:rFonts w:eastAsia="Calibri" w:cs="Times New Roman"/>
          <w:szCs w:val="24"/>
          <w:lang w:eastAsia="en-US"/>
        </w:rPr>
        <w:t>Zgodnie z dyrektywą, państwa członkowskie mają zapewnić</w:t>
      </w:r>
      <w:r w:rsidR="00F3246B" w:rsidRPr="00C4755C">
        <w:rPr>
          <w:rFonts w:eastAsia="Calibri" w:cs="Times New Roman"/>
          <w:szCs w:val="24"/>
          <w:lang w:eastAsia="en-US"/>
        </w:rPr>
        <w:t>, aby termin zapłaty ustalony w</w:t>
      </w:r>
      <w:r w:rsidR="00C4755C">
        <w:rPr>
          <w:rFonts w:eastAsia="Calibri" w:cs="Times New Roman"/>
          <w:szCs w:val="24"/>
          <w:lang w:eastAsia="en-US"/>
        </w:rPr>
        <w:t xml:space="preserve"> </w:t>
      </w:r>
      <w:r w:rsidRPr="00C4755C">
        <w:rPr>
          <w:rFonts w:eastAsia="Calibri" w:cs="Times New Roman"/>
          <w:szCs w:val="24"/>
          <w:lang w:eastAsia="en-US"/>
        </w:rPr>
        <w:t>umowie nie przekraczał 60 dni. Dyrektywa wprawdzie dopuszcza ustalenie dłuższego terminu pod warunkiem, że nie jest to rażąco nieuczciwe wobec wierzyciela, ale jednocześnie przewiduje, że państwa członkowskie</w:t>
      </w:r>
      <w:r w:rsidR="00F3246B" w:rsidRPr="00C4755C">
        <w:rPr>
          <w:rFonts w:eastAsia="Calibri" w:cs="Times New Roman"/>
          <w:szCs w:val="24"/>
          <w:lang w:eastAsia="en-US"/>
        </w:rPr>
        <w:t xml:space="preserve"> mogą utrzymać lub wprowadzać w</w:t>
      </w:r>
      <w:r w:rsidR="00C4755C">
        <w:rPr>
          <w:rFonts w:eastAsia="Calibri" w:cs="Times New Roman"/>
          <w:szCs w:val="24"/>
          <w:lang w:eastAsia="en-US"/>
        </w:rPr>
        <w:t xml:space="preserve"> </w:t>
      </w:r>
      <w:r w:rsidRPr="00C4755C">
        <w:rPr>
          <w:rFonts w:eastAsia="Calibri" w:cs="Times New Roman"/>
          <w:szCs w:val="24"/>
          <w:lang w:eastAsia="en-US"/>
        </w:rPr>
        <w:t>życie przepisy, które są korzystniejsze dla wierzyciela.</w:t>
      </w:r>
    </w:p>
    <w:p w14:paraId="75391DF8" w14:textId="634723FC" w:rsidR="002C2665" w:rsidRPr="00C4755C" w:rsidRDefault="002C2665" w:rsidP="00C4755C">
      <w:pPr>
        <w:spacing w:before="120"/>
        <w:jc w:val="both"/>
        <w:rPr>
          <w:rFonts w:eastAsia="Calibri" w:cs="Times New Roman"/>
          <w:szCs w:val="24"/>
          <w:lang w:eastAsia="en-US"/>
        </w:rPr>
      </w:pPr>
      <w:r w:rsidRPr="00C4755C">
        <w:rPr>
          <w:rFonts w:eastAsia="Calibri" w:cs="Times New Roman"/>
          <w:szCs w:val="24"/>
          <w:lang w:eastAsia="en-US"/>
        </w:rPr>
        <w:t>Dzięki temu rozwiązaniu małe i średnie firmy przestaną finansować działalność operacyjną dużych przedsiębiorstw, które czasem wymuszają nawet 180-dniowe terminy płatności. Stosowanie krótszych terminów przez duże przedsiębiorstwa jest wyrazem prowadzenia biznesu w sposób społecznie odpowiedzialny.</w:t>
      </w:r>
    </w:p>
    <w:p w14:paraId="1AD1B1C3" w14:textId="0405BC7B" w:rsidR="002C2665" w:rsidRPr="00C4755C" w:rsidRDefault="002C2665" w:rsidP="00C4755C">
      <w:pPr>
        <w:spacing w:before="120"/>
        <w:jc w:val="both"/>
        <w:rPr>
          <w:rFonts w:cs="Times New Roman"/>
          <w:color w:val="000000"/>
          <w:szCs w:val="24"/>
          <w:lang w:eastAsia="en-US"/>
        </w:rPr>
      </w:pPr>
      <w:r w:rsidRPr="00C4755C">
        <w:rPr>
          <w:rFonts w:cs="Times New Roman"/>
          <w:color w:val="000000"/>
          <w:szCs w:val="24"/>
          <w:lang w:eastAsia="en-US"/>
        </w:rPr>
        <w:t xml:space="preserve">Istotną okoliczność przy wykładni art. 12 ust. 3 dyrektywy stanowi również praktyka legislacyjna państw członkowskich UE. Przykładowo </w:t>
      </w:r>
      <w:r w:rsidR="00F3246B" w:rsidRPr="00C4755C">
        <w:rPr>
          <w:rFonts w:cs="Times New Roman"/>
          <w:color w:val="000000"/>
          <w:szCs w:val="24"/>
          <w:lang w:eastAsia="en-US"/>
        </w:rPr>
        <w:t>Francja (sektorowo), Holandia i</w:t>
      </w:r>
      <w:r w:rsidR="00C4755C">
        <w:rPr>
          <w:rFonts w:cs="Times New Roman"/>
          <w:color w:val="000000"/>
          <w:szCs w:val="24"/>
          <w:lang w:eastAsia="en-US"/>
        </w:rPr>
        <w:t xml:space="preserve"> </w:t>
      </w:r>
      <w:r w:rsidRPr="00C4755C">
        <w:rPr>
          <w:rFonts w:cs="Times New Roman"/>
          <w:color w:val="000000"/>
          <w:szCs w:val="24"/>
          <w:lang w:eastAsia="en-US"/>
        </w:rPr>
        <w:t xml:space="preserve">Hiszpania skorzystały z regulacji art. 12 ust. 3 dyrektywy w kontekście ustalenia surowszych terminów płatności. Ponadto sama KE przedstawiła propozycję dyrektywy sektorowej w </w:t>
      </w:r>
      <w:r w:rsidR="00204900" w:rsidRPr="00C4755C">
        <w:rPr>
          <w:rFonts w:cs="Times New Roman"/>
          <w:color w:val="000000"/>
          <w:szCs w:val="24"/>
          <w:lang w:eastAsia="en-US"/>
        </w:rPr>
        <w:t>przemyśle</w:t>
      </w:r>
      <w:r w:rsidRPr="00C4755C">
        <w:rPr>
          <w:rFonts w:cs="Times New Roman"/>
          <w:color w:val="000000"/>
          <w:szCs w:val="24"/>
          <w:lang w:eastAsia="en-US"/>
        </w:rPr>
        <w:t xml:space="preserve"> żywieniowym, która zawiera propozycję 30-dniowego terminu płatności pomiędzy</w:t>
      </w:r>
      <w:r w:rsidR="00170DEB" w:rsidRPr="00C4755C">
        <w:rPr>
          <w:rFonts w:cs="Times New Roman"/>
          <w:color w:val="000000"/>
          <w:szCs w:val="24"/>
          <w:lang w:eastAsia="en-US"/>
        </w:rPr>
        <w:t xml:space="preserve"> MŚP a dużymi przedsiębiorcami.</w:t>
      </w:r>
    </w:p>
    <w:p w14:paraId="0E853689" w14:textId="2C050630" w:rsidR="0031162F" w:rsidRPr="00C4755C" w:rsidRDefault="00B159F7" w:rsidP="008A4755">
      <w:pPr>
        <w:keepNext/>
        <w:widowControl/>
        <w:spacing w:before="120"/>
        <w:jc w:val="both"/>
        <w:rPr>
          <w:rFonts w:cs="Times New Roman"/>
          <w:b/>
          <w:i/>
          <w:szCs w:val="24"/>
        </w:rPr>
      </w:pPr>
      <w:r w:rsidRPr="00C4755C">
        <w:rPr>
          <w:rFonts w:cs="Times New Roman"/>
          <w:b/>
          <w:i/>
          <w:szCs w:val="24"/>
        </w:rPr>
        <w:lastRenderedPageBreak/>
        <w:t>5</w:t>
      </w:r>
      <w:r w:rsidR="0031162F" w:rsidRPr="00C4755C">
        <w:rPr>
          <w:rFonts w:cs="Times New Roman"/>
          <w:b/>
          <w:i/>
          <w:szCs w:val="24"/>
        </w:rPr>
        <w:t>)</w:t>
      </w:r>
      <w:r w:rsidR="00184C10" w:rsidRPr="00C4755C">
        <w:rPr>
          <w:rFonts w:cs="Times New Roman"/>
          <w:b/>
          <w:i/>
          <w:szCs w:val="24"/>
        </w:rPr>
        <w:t xml:space="preserve"> </w:t>
      </w:r>
      <w:r w:rsidR="0031162F" w:rsidRPr="00C4755C">
        <w:rPr>
          <w:rFonts w:cs="Times New Roman"/>
          <w:b/>
          <w:i/>
          <w:szCs w:val="24"/>
        </w:rPr>
        <w:t>Automatyczne zastosowanie terminu ustawowego w przypadku niezgodności postanowień umowy</w:t>
      </w:r>
      <w:r w:rsidR="005C58B1" w:rsidRPr="00C4755C">
        <w:rPr>
          <w:rFonts w:cs="Times New Roman"/>
          <w:b/>
          <w:i/>
          <w:szCs w:val="24"/>
        </w:rPr>
        <w:t xml:space="preserve"> </w:t>
      </w:r>
      <w:r w:rsidR="0031162F" w:rsidRPr="00C4755C">
        <w:rPr>
          <w:rFonts w:cs="Times New Roman"/>
          <w:b/>
          <w:i/>
          <w:szCs w:val="24"/>
        </w:rPr>
        <w:t>ustalających termin zapłaty z przepisami ustawy (art. 13 ust. 2)</w:t>
      </w:r>
    </w:p>
    <w:p w14:paraId="7E710C1F" w14:textId="3B2A2582" w:rsidR="0031162F" w:rsidRPr="00C4755C" w:rsidRDefault="0031162F" w:rsidP="008A4755">
      <w:pPr>
        <w:keepNext/>
        <w:widowControl/>
        <w:spacing w:before="120"/>
        <w:jc w:val="both"/>
        <w:rPr>
          <w:rFonts w:cs="Times New Roman"/>
          <w:szCs w:val="24"/>
        </w:rPr>
      </w:pPr>
      <w:r w:rsidRPr="00C4755C">
        <w:rPr>
          <w:rFonts w:cs="Times New Roman"/>
          <w:szCs w:val="24"/>
        </w:rPr>
        <w:t>W celu ochrony wierzycieli, w projekcie przewidziano rozwiązanie wzorowane na regulacjach holenderskich</w:t>
      </w:r>
      <w:r w:rsidR="00A01B42" w:rsidRPr="00C4755C">
        <w:rPr>
          <w:rFonts w:cs="Times New Roman"/>
          <w:szCs w:val="24"/>
        </w:rPr>
        <w:t>.</w:t>
      </w:r>
      <w:r w:rsidRPr="00C4755C">
        <w:rPr>
          <w:rFonts w:cs="Times New Roman"/>
          <w:szCs w:val="24"/>
        </w:rPr>
        <w:t xml:space="preserve"> </w:t>
      </w:r>
      <w:r w:rsidR="00BD056A" w:rsidRPr="00C4755C">
        <w:rPr>
          <w:rFonts w:cs="Times New Roman"/>
          <w:szCs w:val="24"/>
        </w:rPr>
        <w:t xml:space="preserve">Zaproponowano dodanie przepisu, </w:t>
      </w:r>
      <w:r w:rsidR="00AF7EEE" w:rsidRPr="00C4755C">
        <w:rPr>
          <w:rFonts w:cs="Times New Roman"/>
          <w:szCs w:val="24"/>
        </w:rPr>
        <w:t>zgodnie z którym, w</w:t>
      </w:r>
      <w:r w:rsidR="00C4755C">
        <w:rPr>
          <w:rFonts w:cs="Times New Roman"/>
          <w:szCs w:val="24"/>
        </w:rPr>
        <w:t xml:space="preserve"> </w:t>
      </w:r>
      <w:r w:rsidRPr="00C4755C">
        <w:rPr>
          <w:rFonts w:cs="Times New Roman"/>
          <w:szCs w:val="24"/>
        </w:rPr>
        <w:t>przypadku gdy strony transakcji „asymetrycznej”, w której dłużnikiem zobowiązanym do świadczenia pieniężnego jest duży przedsiębiorca, a wierzycielem MŚP,</w:t>
      </w:r>
      <w:r w:rsidR="00AF7EEE" w:rsidRPr="00C4755C">
        <w:rPr>
          <w:rFonts w:cs="Times New Roman"/>
          <w:szCs w:val="24"/>
        </w:rPr>
        <w:t xml:space="preserve"> zastrzegły w</w:t>
      </w:r>
      <w:r w:rsidR="00C4755C">
        <w:rPr>
          <w:rFonts w:cs="Times New Roman"/>
          <w:szCs w:val="24"/>
        </w:rPr>
        <w:t xml:space="preserve"> </w:t>
      </w:r>
      <w:r w:rsidRPr="00C4755C">
        <w:rPr>
          <w:rFonts w:cs="Times New Roman"/>
          <w:szCs w:val="24"/>
        </w:rPr>
        <w:t xml:space="preserve">umowie termin </w:t>
      </w:r>
      <w:r w:rsidR="00BD056A" w:rsidRPr="00C4755C">
        <w:rPr>
          <w:rFonts w:cs="Times New Roman"/>
          <w:szCs w:val="24"/>
        </w:rPr>
        <w:t xml:space="preserve">zapłaty </w:t>
      </w:r>
      <w:r w:rsidRPr="00C4755C">
        <w:rPr>
          <w:rFonts w:cs="Times New Roman"/>
          <w:szCs w:val="24"/>
        </w:rPr>
        <w:t xml:space="preserve">dłuższy niż 60 dni, termin ten nie </w:t>
      </w:r>
      <w:r w:rsidR="00A01B42" w:rsidRPr="00C4755C">
        <w:rPr>
          <w:rFonts w:cs="Times New Roman"/>
          <w:szCs w:val="24"/>
        </w:rPr>
        <w:t xml:space="preserve">będzie </w:t>
      </w:r>
      <w:r w:rsidRPr="00C4755C">
        <w:rPr>
          <w:rFonts w:cs="Times New Roman"/>
          <w:szCs w:val="24"/>
        </w:rPr>
        <w:t xml:space="preserve">obowiązywał, a w jego miejsce </w:t>
      </w:r>
      <w:r w:rsidR="00A01B42" w:rsidRPr="00C4755C">
        <w:rPr>
          <w:rFonts w:cs="Times New Roman"/>
          <w:szCs w:val="24"/>
        </w:rPr>
        <w:t>wejdzie</w:t>
      </w:r>
      <w:r w:rsidRPr="00C4755C">
        <w:rPr>
          <w:rFonts w:cs="Times New Roman"/>
          <w:szCs w:val="24"/>
        </w:rPr>
        <w:t xml:space="preserve"> </w:t>
      </w:r>
      <w:r w:rsidR="00E278A7" w:rsidRPr="00C4755C">
        <w:rPr>
          <w:rFonts w:cs="Times New Roman"/>
          <w:szCs w:val="24"/>
        </w:rPr>
        <w:t>60</w:t>
      </w:r>
      <w:r w:rsidR="00170DEB" w:rsidRPr="00C4755C">
        <w:rPr>
          <w:rFonts w:cs="Times New Roman"/>
          <w:szCs w:val="24"/>
        </w:rPr>
        <w:t>-dniowy termin ustawowy.</w:t>
      </w:r>
    </w:p>
    <w:p w14:paraId="694B07A4" w14:textId="29223E30" w:rsidR="0031162F" w:rsidRPr="00C4755C" w:rsidRDefault="00184C10"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Również w transakcjach symetrycznych B2B, w których możliwe będzie wydłużenie terminu zapłaty powyżej 60 dni</w:t>
      </w:r>
      <w:r w:rsidR="00A01B42" w:rsidRPr="00C4755C">
        <w:rPr>
          <w:rFonts w:ascii="Times New Roman" w:hAnsi="Times New Roman" w:cs="Times New Roman"/>
          <w:szCs w:val="24"/>
        </w:rPr>
        <w:t xml:space="preserve"> po spełnieniu określonych warunków, w sytuacji gdy nie zostaną one spełnione, zamiast postanowień umownych ustalających</w:t>
      </w:r>
      <w:r w:rsidR="003001E1" w:rsidRPr="00C4755C">
        <w:rPr>
          <w:rFonts w:ascii="Times New Roman" w:hAnsi="Times New Roman" w:cs="Times New Roman"/>
          <w:szCs w:val="24"/>
        </w:rPr>
        <w:t xml:space="preserve"> dłuższy niż 60 dni</w:t>
      </w:r>
      <w:r w:rsidR="005C58B1" w:rsidRPr="00C4755C">
        <w:rPr>
          <w:rFonts w:ascii="Times New Roman" w:hAnsi="Times New Roman" w:cs="Times New Roman"/>
          <w:szCs w:val="24"/>
        </w:rPr>
        <w:t xml:space="preserve"> </w:t>
      </w:r>
      <w:r w:rsidR="00A01B42" w:rsidRPr="00C4755C">
        <w:rPr>
          <w:rFonts w:ascii="Times New Roman" w:hAnsi="Times New Roman" w:cs="Times New Roman"/>
          <w:szCs w:val="24"/>
        </w:rPr>
        <w:t>termin zapłaty będzie obowiązywał 60-dniowy termin zapłaty. Analogiczne rozwiązania przewidziano w przypadku transakcji z podmiotami publicznymi. Zamiast postanowień umownych określających termin zapłaty dłuższy niż 30 dni w przypadku gdy dłużnikiem jest podmiot publiczny niebędący podmiotem leczniczym</w:t>
      </w:r>
      <w:r w:rsidR="003001E1" w:rsidRPr="00C4755C">
        <w:rPr>
          <w:rFonts w:ascii="Times New Roman" w:hAnsi="Times New Roman" w:cs="Times New Roman"/>
          <w:szCs w:val="24"/>
        </w:rPr>
        <w:t>,</w:t>
      </w:r>
      <w:r w:rsidR="00A01B42" w:rsidRPr="00C4755C">
        <w:rPr>
          <w:rFonts w:ascii="Times New Roman" w:hAnsi="Times New Roman" w:cs="Times New Roman"/>
          <w:szCs w:val="24"/>
        </w:rPr>
        <w:t xml:space="preserve"> zastosowanie będzie miał termin ustawowy 30-dniowy, natomiast w przypadku gdy dłużnikiem jest podmiot publiczny będący podmiot</w:t>
      </w:r>
      <w:r w:rsidR="003001E1" w:rsidRPr="00C4755C">
        <w:rPr>
          <w:rFonts w:ascii="Times New Roman" w:hAnsi="Times New Roman" w:cs="Times New Roman"/>
          <w:szCs w:val="24"/>
        </w:rPr>
        <w:t>em</w:t>
      </w:r>
      <w:r w:rsidR="00A01B42" w:rsidRPr="00C4755C">
        <w:rPr>
          <w:rFonts w:ascii="Times New Roman" w:hAnsi="Times New Roman" w:cs="Times New Roman"/>
          <w:szCs w:val="24"/>
        </w:rPr>
        <w:t xml:space="preserve"> leczniczym, a w umowie ustalono termin zapłaty dłuższy niż 60 dni,</w:t>
      </w:r>
      <w:r w:rsidR="000C61F4" w:rsidRPr="00C4755C">
        <w:rPr>
          <w:rFonts w:ascii="Times New Roman" w:hAnsi="Times New Roman" w:cs="Times New Roman"/>
          <w:szCs w:val="24"/>
        </w:rPr>
        <w:t xml:space="preserve"> </w:t>
      </w:r>
      <w:r w:rsidR="003001E1" w:rsidRPr="00C4755C">
        <w:rPr>
          <w:rFonts w:ascii="Times New Roman" w:hAnsi="Times New Roman" w:cs="Times New Roman"/>
          <w:szCs w:val="24"/>
        </w:rPr>
        <w:t>stosowany będzie 60-dniowy termin ustawowy.</w:t>
      </w:r>
    </w:p>
    <w:p w14:paraId="44FAB550" w14:textId="57CB1AA1" w:rsidR="00E7313C" w:rsidRPr="00C4755C" w:rsidRDefault="00B159F7" w:rsidP="00C4755C">
      <w:pPr>
        <w:spacing w:before="120"/>
        <w:jc w:val="both"/>
        <w:rPr>
          <w:rFonts w:cs="Times New Roman"/>
          <w:b/>
          <w:i/>
          <w:szCs w:val="24"/>
        </w:rPr>
      </w:pPr>
      <w:r w:rsidRPr="00C4755C">
        <w:rPr>
          <w:rFonts w:cs="Times New Roman"/>
          <w:b/>
          <w:i/>
          <w:szCs w:val="24"/>
        </w:rPr>
        <w:t>6</w:t>
      </w:r>
      <w:r w:rsidR="00160CBC" w:rsidRPr="00C4755C">
        <w:rPr>
          <w:rFonts w:cs="Times New Roman"/>
          <w:b/>
          <w:i/>
          <w:szCs w:val="24"/>
        </w:rPr>
        <w:t>)</w:t>
      </w:r>
      <w:r w:rsidR="001250F9" w:rsidRPr="00C4755C">
        <w:rPr>
          <w:rFonts w:cs="Times New Roman"/>
          <w:b/>
          <w:i/>
          <w:szCs w:val="24"/>
        </w:rPr>
        <w:t xml:space="preserve"> </w:t>
      </w:r>
      <w:r w:rsidR="002A2822" w:rsidRPr="00C4755C">
        <w:rPr>
          <w:rFonts w:cs="Times New Roman"/>
          <w:b/>
          <w:i/>
          <w:szCs w:val="24"/>
        </w:rPr>
        <w:t xml:space="preserve">Zróżnicowanie </w:t>
      </w:r>
      <w:r w:rsidR="00E7313C" w:rsidRPr="00C4755C">
        <w:rPr>
          <w:rFonts w:cs="Times New Roman"/>
          <w:b/>
          <w:i/>
          <w:szCs w:val="24"/>
        </w:rPr>
        <w:t xml:space="preserve">kwoty rekompensaty </w:t>
      </w:r>
      <w:r w:rsidR="002A2822" w:rsidRPr="00C4755C">
        <w:rPr>
          <w:rFonts w:cs="Times New Roman"/>
          <w:b/>
          <w:i/>
          <w:szCs w:val="24"/>
        </w:rPr>
        <w:t xml:space="preserve">w zależność od wysokości wynagrodzenia </w:t>
      </w:r>
      <w:r w:rsidR="00DB59D8">
        <w:rPr>
          <w:rFonts w:cs="Times New Roman"/>
          <w:b/>
          <w:i/>
          <w:szCs w:val="24"/>
        </w:rPr>
        <w:t>(art. </w:t>
      </w:r>
      <w:r w:rsidR="00C13052" w:rsidRPr="00C4755C">
        <w:rPr>
          <w:rFonts w:cs="Times New Roman"/>
          <w:b/>
          <w:i/>
          <w:szCs w:val="24"/>
        </w:rPr>
        <w:t>10 ust. 1)</w:t>
      </w:r>
    </w:p>
    <w:p w14:paraId="610AA0E4" w14:textId="696CD28C" w:rsidR="00ED7BAB" w:rsidRPr="00C4755C" w:rsidRDefault="00C11661"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obecnym kształcie p</w:t>
      </w:r>
      <w:r w:rsidR="00245E9D" w:rsidRPr="00C4755C">
        <w:rPr>
          <w:rFonts w:ascii="Times New Roman" w:hAnsi="Times New Roman" w:cs="Times New Roman"/>
          <w:szCs w:val="24"/>
        </w:rPr>
        <w:t>rzepisy ustawy o terminach zapłaty w transakcjach handlowych przewidują, że</w:t>
      </w:r>
      <w:r w:rsidR="00852658" w:rsidRPr="00C4755C">
        <w:rPr>
          <w:rFonts w:ascii="Times New Roman" w:hAnsi="Times New Roman" w:cs="Times New Roman"/>
          <w:szCs w:val="24"/>
        </w:rPr>
        <w:t xml:space="preserve"> </w:t>
      </w:r>
      <w:r w:rsidR="00245E9D" w:rsidRPr="00C4755C">
        <w:rPr>
          <w:rFonts w:ascii="Times New Roman" w:hAnsi="Times New Roman" w:cs="Times New Roman"/>
          <w:szCs w:val="24"/>
        </w:rPr>
        <w:t>wierzycielowi, który nie otrzymał zapłaty na czas, przysługuje rekompensata w wysokości r</w:t>
      </w:r>
      <w:r w:rsidR="002B58C5" w:rsidRPr="00C4755C">
        <w:rPr>
          <w:rFonts w:ascii="Times New Roman" w:hAnsi="Times New Roman" w:cs="Times New Roman"/>
          <w:szCs w:val="24"/>
        </w:rPr>
        <w:t>ówno</w:t>
      </w:r>
      <w:r w:rsidR="00245E9D" w:rsidRPr="00C4755C">
        <w:rPr>
          <w:rFonts w:ascii="Times New Roman" w:hAnsi="Times New Roman" w:cs="Times New Roman"/>
          <w:szCs w:val="24"/>
        </w:rPr>
        <w:t>wartości 40 euro, od każdej niezapłaconej wierzytelności lub części wierzytelności, jeżeli taka część została wyodrębniona w umowie.</w:t>
      </w:r>
    </w:p>
    <w:p w14:paraId="1AD827C1" w14:textId="43BE5C93" w:rsidR="00C11661" w:rsidRPr="00C4755C" w:rsidRDefault="00A673F8"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Wysokość odsetek za opóźnienie </w:t>
      </w:r>
      <w:r w:rsidR="00E278A7" w:rsidRPr="00C4755C">
        <w:rPr>
          <w:rFonts w:ascii="Times New Roman" w:hAnsi="Times New Roman" w:cs="Times New Roman"/>
          <w:szCs w:val="24"/>
        </w:rPr>
        <w:t xml:space="preserve">w transakcjach handlowych </w:t>
      </w:r>
      <w:r w:rsidRPr="00C4755C">
        <w:rPr>
          <w:rFonts w:ascii="Times New Roman" w:hAnsi="Times New Roman" w:cs="Times New Roman"/>
          <w:szCs w:val="24"/>
        </w:rPr>
        <w:t>rekompensuje przetrzymywani</w:t>
      </w:r>
      <w:r w:rsidR="002B58C5" w:rsidRPr="00C4755C">
        <w:rPr>
          <w:rFonts w:ascii="Times New Roman" w:hAnsi="Times New Roman" w:cs="Times New Roman"/>
          <w:szCs w:val="24"/>
        </w:rPr>
        <w:t>e</w:t>
      </w:r>
      <w:r w:rsidRPr="00C4755C">
        <w:rPr>
          <w:rFonts w:ascii="Times New Roman" w:hAnsi="Times New Roman" w:cs="Times New Roman"/>
          <w:szCs w:val="24"/>
        </w:rPr>
        <w:t xml:space="preserve"> środków finansowych, ale nie uwzględnia </w:t>
      </w:r>
      <w:r w:rsidR="00204900" w:rsidRPr="00C4755C">
        <w:rPr>
          <w:rFonts w:ascii="Times New Roman" w:hAnsi="Times New Roman" w:cs="Times New Roman"/>
          <w:szCs w:val="24"/>
        </w:rPr>
        <w:t>kosztów odzyskiwania należności.</w:t>
      </w:r>
      <w:r w:rsidR="00170DEB" w:rsidRPr="00C4755C">
        <w:rPr>
          <w:rFonts w:ascii="Times New Roman" w:hAnsi="Times New Roman" w:cs="Times New Roman"/>
          <w:szCs w:val="24"/>
        </w:rPr>
        <w:t xml:space="preserve"> </w:t>
      </w:r>
      <w:r w:rsidR="00C11661" w:rsidRPr="00C4755C">
        <w:rPr>
          <w:rFonts w:ascii="Times New Roman" w:hAnsi="Times New Roman" w:cs="Times New Roman"/>
          <w:szCs w:val="24"/>
        </w:rPr>
        <w:t>Co więcej, w</w:t>
      </w:r>
      <w:r w:rsidR="00E278A7" w:rsidRPr="00C4755C">
        <w:rPr>
          <w:rFonts w:ascii="Times New Roman" w:hAnsi="Times New Roman" w:cs="Times New Roman"/>
          <w:szCs w:val="24"/>
        </w:rPr>
        <w:t>yższa wysokość świadczenia pieniężnego, które nie zostało spłacone w terminie</w:t>
      </w:r>
      <w:r w:rsidR="00C74C5E">
        <w:rPr>
          <w:rFonts w:ascii="Times New Roman" w:hAnsi="Times New Roman" w:cs="Times New Roman"/>
          <w:szCs w:val="24"/>
        </w:rPr>
        <w:t>,</w:t>
      </w:r>
      <w:r w:rsidR="00E278A7" w:rsidRPr="00C4755C">
        <w:rPr>
          <w:rFonts w:ascii="Times New Roman" w:hAnsi="Times New Roman" w:cs="Times New Roman"/>
          <w:szCs w:val="24"/>
        </w:rPr>
        <w:t xml:space="preserve"> wiąże się z wyższymi kosztami dochodzenia tej wierzytelności.</w:t>
      </w:r>
    </w:p>
    <w:p w14:paraId="57124608" w14:textId="62FAF8F2" w:rsidR="00C471DE" w:rsidRPr="00C4755C" w:rsidRDefault="002F1ADD" w:rsidP="008A4755">
      <w:pPr>
        <w:pStyle w:val="ZLITUSTzmustliter"/>
        <w:keepNext/>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W związku z tym</w:t>
      </w:r>
      <w:r w:rsidR="00C11661" w:rsidRPr="00C4755C">
        <w:rPr>
          <w:rFonts w:ascii="Times New Roman" w:hAnsi="Times New Roman" w:cs="Times New Roman"/>
          <w:szCs w:val="24"/>
        </w:rPr>
        <w:t>, wzorując się na rozwiązaniu przyjętym w prawie irlandzkim,</w:t>
      </w:r>
      <w:r w:rsidRPr="00C4755C">
        <w:rPr>
          <w:rFonts w:ascii="Times New Roman" w:hAnsi="Times New Roman" w:cs="Times New Roman"/>
          <w:szCs w:val="24"/>
        </w:rPr>
        <w:t xml:space="preserve"> proponuje się </w:t>
      </w:r>
      <w:r w:rsidR="00E278A7" w:rsidRPr="00C4755C">
        <w:rPr>
          <w:rFonts w:ascii="Times New Roman" w:hAnsi="Times New Roman" w:cs="Times New Roman"/>
          <w:szCs w:val="24"/>
        </w:rPr>
        <w:t>zastosować trzy stopnie rekompensaty.</w:t>
      </w:r>
      <w:r w:rsidR="00C471DE" w:rsidRPr="00C4755C">
        <w:rPr>
          <w:rFonts w:ascii="Times New Roman" w:hAnsi="Times New Roman" w:cs="Times New Roman"/>
          <w:szCs w:val="24"/>
        </w:rPr>
        <w:t xml:space="preserve"> Rekompensata za koszty odzyskiwania należności </w:t>
      </w:r>
      <w:r w:rsidR="00A133BB" w:rsidRPr="00C4755C">
        <w:rPr>
          <w:rFonts w:ascii="Times New Roman" w:hAnsi="Times New Roman" w:cs="Times New Roman"/>
          <w:szCs w:val="24"/>
        </w:rPr>
        <w:t>będzie przysługiwała w</w:t>
      </w:r>
      <w:r w:rsidR="00C471DE" w:rsidRPr="00C4755C">
        <w:rPr>
          <w:rFonts w:ascii="Times New Roman" w:hAnsi="Times New Roman" w:cs="Times New Roman"/>
          <w:szCs w:val="24"/>
        </w:rPr>
        <w:t xml:space="preserve"> </w:t>
      </w:r>
      <w:r w:rsidR="00A133BB" w:rsidRPr="00C4755C">
        <w:rPr>
          <w:rFonts w:ascii="Times New Roman" w:hAnsi="Times New Roman" w:cs="Times New Roman"/>
          <w:szCs w:val="24"/>
        </w:rPr>
        <w:t>równowartości</w:t>
      </w:r>
      <w:r w:rsidR="00C471DE" w:rsidRPr="00C4755C">
        <w:rPr>
          <w:rFonts w:ascii="Times New Roman" w:hAnsi="Times New Roman" w:cs="Times New Roman"/>
          <w:szCs w:val="24"/>
        </w:rPr>
        <w:t xml:space="preserve"> kwoty:</w:t>
      </w:r>
    </w:p>
    <w:p w14:paraId="73157BDE" w14:textId="386978B9" w:rsidR="00C471DE" w:rsidRPr="00C4755C" w:rsidRDefault="00C471DE" w:rsidP="008A4755">
      <w:pPr>
        <w:pStyle w:val="ZUSTzmustartykuempunktem"/>
        <w:keepNext/>
        <w:tabs>
          <w:tab w:val="left" w:pos="426"/>
        </w:tabs>
        <w:ind w:left="426" w:hanging="426"/>
        <w:rPr>
          <w:rFonts w:ascii="Times New Roman" w:hAnsi="Times New Roman" w:cs="Times New Roman"/>
          <w:szCs w:val="24"/>
        </w:rPr>
      </w:pPr>
      <w:r w:rsidRPr="00C4755C">
        <w:rPr>
          <w:rFonts w:ascii="Times New Roman" w:hAnsi="Times New Roman" w:cs="Times New Roman"/>
          <w:szCs w:val="24"/>
        </w:rPr>
        <w:t>1)</w:t>
      </w:r>
      <w:r w:rsidRPr="00C4755C">
        <w:rPr>
          <w:rFonts w:ascii="Times New Roman" w:hAnsi="Times New Roman" w:cs="Times New Roman"/>
          <w:szCs w:val="24"/>
        </w:rPr>
        <w:tab/>
        <w:t>40 euro</w:t>
      </w:r>
      <w:r w:rsidR="00A133BB" w:rsidRPr="00C4755C">
        <w:rPr>
          <w:rFonts w:ascii="Times New Roman" w:hAnsi="Times New Roman" w:cs="Times New Roman"/>
          <w:szCs w:val="24"/>
        </w:rPr>
        <w:t xml:space="preserve"> – </w:t>
      </w:r>
      <w:r w:rsidRPr="00C4755C">
        <w:rPr>
          <w:rFonts w:ascii="Times New Roman" w:hAnsi="Times New Roman" w:cs="Times New Roman"/>
          <w:szCs w:val="24"/>
        </w:rPr>
        <w:t>w przypadku gdy</w:t>
      </w:r>
      <w:r w:rsidR="000D2D15" w:rsidRPr="00C4755C">
        <w:rPr>
          <w:rFonts w:ascii="Times New Roman" w:hAnsi="Times New Roman" w:cs="Times New Roman"/>
          <w:szCs w:val="24"/>
        </w:rPr>
        <w:t xml:space="preserve"> wartość</w:t>
      </w:r>
      <w:r w:rsidRPr="00C4755C">
        <w:rPr>
          <w:rFonts w:ascii="Times New Roman" w:hAnsi="Times New Roman" w:cs="Times New Roman"/>
          <w:szCs w:val="24"/>
        </w:rPr>
        <w:t xml:space="preserve"> świadczeni</w:t>
      </w:r>
      <w:r w:rsidR="000D2D15" w:rsidRPr="00C4755C">
        <w:rPr>
          <w:rFonts w:ascii="Times New Roman" w:hAnsi="Times New Roman" w:cs="Times New Roman"/>
          <w:szCs w:val="24"/>
        </w:rPr>
        <w:t>a</w:t>
      </w:r>
      <w:r w:rsidRPr="00C4755C">
        <w:rPr>
          <w:rFonts w:ascii="Times New Roman" w:hAnsi="Times New Roman" w:cs="Times New Roman"/>
          <w:szCs w:val="24"/>
        </w:rPr>
        <w:t xml:space="preserve"> pieniężne</w:t>
      </w:r>
      <w:r w:rsidR="000D2D15" w:rsidRPr="00C4755C">
        <w:rPr>
          <w:rFonts w:ascii="Times New Roman" w:hAnsi="Times New Roman" w:cs="Times New Roman"/>
          <w:szCs w:val="24"/>
        </w:rPr>
        <w:t>go</w:t>
      </w:r>
      <w:r w:rsidRPr="00C4755C">
        <w:rPr>
          <w:rFonts w:ascii="Times New Roman" w:hAnsi="Times New Roman" w:cs="Times New Roman"/>
          <w:szCs w:val="24"/>
        </w:rPr>
        <w:t xml:space="preserve"> nie przekracza </w:t>
      </w:r>
      <w:r w:rsidR="00747744" w:rsidRPr="00C4755C">
        <w:rPr>
          <w:rFonts w:ascii="Times New Roman" w:hAnsi="Times New Roman" w:cs="Times New Roman"/>
          <w:szCs w:val="24"/>
        </w:rPr>
        <w:t>5</w:t>
      </w:r>
      <w:r w:rsidRPr="00C4755C">
        <w:rPr>
          <w:rFonts w:ascii="Times New Roman" w:hAnsi="Times New Roman" w:cs="Times New Roman"/>
          <w:szCs w:val="24"/>
        </w:rPr>
        <w:t>000</w:t>
      </w:r>
      <w:r w:rsidR="00C74C5E">
        <w:rPr>
          <w:rFonts w:ascii="Times New Roman" w:hAnsi="Times New Roman" w:cs="Times New Roman"/>
          <w:szCs w:val="24"/>
        </w:rPr>
        <w:t> </w:t>
      </w:r>
      <w:r w:rsidR="000D2D15" w:rsidRPr="00C4755C">
        <w:rPr>
          <w:rFonts w:ascii="Times New Roman" w:hAnsi="Times New Roman" w:cs="Times New Roman"/>
          <w:szCs w:val="24"/>
        </w:rPr>
        <w:t>zł</w:t>
      </w:r>
      <w:r w:rsidRPr="00C4755C">
        <w:rPr>
          <w:rFonts w:ascii="Times New Roman" w:hAnsi="Times New Roman" w:cs="Times New Roman"/>
          <w:szCs w:val="24"/>
        </w:rPr>
        <w:t>;</w:t>
      </w:r>
    </w:p>
    <w:p w14:paraId="1A3DE11F" w14:textId="33733334" w:rsidR="00C471DE" w:rsidRPr="00C4755C" w:rsidRDefault="00C471DE" w:rsidP="008A4755">
      <w:pPr>
        <w:pStyle w:val="ZUSTzmustartykuempunktem"/>
        <w:tabs>
          <w:tab w:val="left" w:pos="426"/>
        </w:tabs>
        <w:ind w:left="426" w:hanging="426"/>
        <w:rPr>
          <w:rFonts w:ascii="Times New Roman" w:hAnsi="Times New Roman" w:cs="Times New Roman"/>
          <w:szCs w:val="24"/>
        </w:rPr>
      </w:pPr>
      <w:r w:rsidRPr="00C4755C">
        <w:rPr>
          <w:rFonts w:ascii="Times New Roman" w:hAnsi="Times New Roman" w:cs="Times New Roman"/>
          <w:szCs w:val="24"/>
        </w:rPr>
        <w:t>2)</w:t>
      </w:r>
      <w:r w:rsidRPr="00C4755C">
        <w:rPr>
          <w:rFonts w:ascii="Times New Roman" w:hAnsi="Times New Roman" w:cs="Times New Roman"/>
          <w:szCs w:val="24"/>
        </w:rPr>
        <w:tab/>
        <w:t xml:space="preserve">70 euro </w:t>
      </w:r>
      <w:r w:rsidR="00A133BB" w:rsidRPr="00C4755C">
        <w:rPr>
          <w:rFonts w:ascii="Times New Roman" w:hAnsi="Times New Roman" w:cs="Times New Roman"/>
          <w:szCs w:val="24"/>
        </w:rPr>
        <w:t xml:space="preserve">– </w:t>
      </w:r>
      <w:r w:rsidRPr="00C4755C">
        <w:rPr>
          <w:rFonts w:ascii="Times New Roman" w:hAnsi="Times New Roman" w:cs="Times New Roman"/>
          <w:szCs w:val="24"/>
        </w:rPr>
        <w:t>w przypadku gdy</w:t>
      </w:r>
      <w:r w:rsidR="000D2D15" w:rsidRPr="00C4755C">
        <w:rPr>
          <w:rFonts w:ascii="Times New Roman" w:hAnsi="Times New Roman" w:cs="Times New Roman"/>
          <w:szCs w:val="24"/>
        </w:rPr>
        <w:t xml:space="preserve"> wartość</w:t>
      </w:r>
      <w:r w:rsidRPr="00C4755C">
        <w:rPr>
          <w:rFonts w:ascii="Times New Roman" w:hAnsi="Times New Roman" w:cs="Times New Roman"/>
          <w:szCs w:val="24"/>
        </w:rPr>
        <w:t xml:space="preserve"> świadczeni</w:t>
      </w:r>
      <w:r w:rsidR="000D2D15" w:rsidRPr="00C4755C">
        <w:rPr>
          <w:rFonts w:ascii="Times New Roman" w:hAnsi="Times New Roman" w:cs="Times New Roman"/>
          <w:szCs w:val="24"/>
        </w:rPr>
        <w:t>a</w:t>
      </w:r>
      <w:r w:rsidRPr="00C4755C">
        <w:rPr>
          <w:rFonts w:ascii="Times New Roman" w:hAnsi="Times New Roman" w:cs="Times New Roman"/>
          <w:szCs w:val="24"/>
        </w:rPr>
        <w:t xml:space="preserve"> pieniężne</w:t>
      </w:r>
      <w:r w:rsidR="000D2D15" w:rsidRPr="00C4755C">
        <w:rPr>
          <w:rFonts w:ascii="Times New Roman" w:hAnsi="Times New Roman" w:cs="Times New Roman"/>
          <w:szCs w:val="24"/>
        </w:rPr>
        <w:t>go</w:t>
      </w:r>
      <w:r w:rsidRPr="00C4755C">
        <w:rPr>
          <w:rFonts w:ascii="Times New Roman" w:hAnsi="Times New Roman" w:cs="Times New Roman"/>
          <w:szCs w:val="24"/>
        </w:rPr>
        <w:t xml:space="preserve"> jest </w:t>
      </w:r>
      <w:r w:rsidR="000D2D15" w:rsidRPr="00C4755C">
        <w:rPr>
          <w:rFonts w:ascii="Times New Roman" w:hAnsi="Times New Roman" w:cs="Times New Roman"/>
          <w:szCs w:val="24"/>
        </w:rPr>
        <w:t>wyższa niż</w:t>
      </w:r>
      <w:r w:rsidRPr="00C4755C">
        <w:rPr>
          <w:rFonts w:ascii="Times New Roman" w:hAnsi="Times New Roman" w:cs="Times New Roman"/>
          <w:szCs w:val="24"/>
        </w:rPr>
        <w:t xml:space="preserve"> </w:t>
      </w:r>
      <w:r w:rsidR="00747744" w:rsidRPr="00C4755C">
        <w:rPr>
          <w:rFonts w:ascii="Times New Roman" w:hAnsi="Times New Roman" w:cs="Times New Roman"/>
          <w:szCs w:val="24"/>
        </w:rPr>
        <w:t>5</w:t>
      </w:r>
      <w:r w:rsidRPr="00C4755C">
        <w:rPr>
          <w:rFonts w:ascii="Times New Roman" w:hAnsi="Times New Roman" w:cs="Times New Roman"/>
          <w:szCs w:val="24"/>
        </w:rPr>
        <w:t>000</w:t>
      </w:r>
      <w:r w:rsidR="00C74C5E">
        <w:rPr>
          <w:rFonts w:ascii="Times New Roman" w:hAnsi="Times New Roman" w:cs="Times New Roman"/>
          <w:szCs w:val="24"/>
        </w:rPr>
        <w:t> </w:t>
      </w:r>
      <w:r w:rsidR="000D2D15" w:rsidRPr="00C4755C">
        <w:rPr>
          <w:rFonts w:ascii="Times New Roman" w:hAnsi="Times New Roman" w:cs="Times New Roman"/>
          <w:szCs w:val="24"/>
        </w:rPr>
        <w:t>zł</w:t>
      </w:r>
      <w:r w:rsidRPr="00C4755C">
        <w:rPr>
          <w:rFonts w:ascii="Times New Roman" w:hAnsi="Times New Roman" w:cs="Times New Roman"/>
          <w:szCs w:val="24"/>
        </w:rPr>
        <w:t>, ale niższ</w:t>
      </w:r>
      <w:r w:rsidR="000D2D15" w:rsidRPr="00C4755C">
        <w:rPr>
          <w:rFonts w:ascii="Times New Roman" w:hAnsi="Times New Roman" w:cs="Times New Roman"/>
          <w:szCs w:val="24"/>
        </w:rPr>
        <w:t>a</w:t>
      </w:r>
      <w:r w:rsidRPr="00C4755C">
        <w:rPr>
          <w:rFonts w:ascii="Times New Roman" w:hAnsi="Times New Roman" w:cs="Times New Roman"/>
          <w:szCs w:val="24"/>
        </w:rPr>
        <w:t xml:space="preserve"> niż </w:t>
      </w:r>
      <w:r w:rsidR="00747744" w:rsidRPr="00C4755C">
        <w:rPr>
          <w:rFonts w:ascii="Times New Roman" w:hAnsi="Times New Roman" w:cs="Times New Roman"/>
          <w:szCs w:val="24"/>
        </w:rPr>
        <w:t>50</w:t>
      </w:r>
      <w:r w:rsidR="00DB59D8">
        <w:rPr>
          <w:rFonts w:ascii="Times New Roman" w:hAnsi="Times New Roman" w:cs="Times New Roman"/>
          <w:szCs w:val="24"/>
        </w:rPr>
        <w:t> </w:t>
      </w:r>
      <w:r w:rsidR="000D2D15" w:rsidRPr="00C4755C">
        <w:rPr>
          <w:rFonts w:ascii="Times New Roman" w:hAnsi="Times New Roman" w:cs="Times New Roman"/>
          <w:szCs w:val="24"/>
        </w:rPr>
        <w:t>000 zł</w:t>
      </w:r>
      <w:r w:rsidRPr="00C4755C">
        <w:rPr>
          <w:rFonts w:ascii="Times New Roman" w:hAnsi="Times New Roman" w:cs="Times New Roman"/>
          <w:szCs w:val="24"/>
        </w:rPr>
        <w:t>;</w:t>
      </w:r>
    </w:p>
    <w:p w14:paraId="52F22446" w14:textId="3F45B783" w:rsidR="00C471DE" w:rsidRPr="00C4755C" w:rsidRDefault="00C471DE" w:rsidP="008A4755">
      <w:pPr>
        <w:pStyle w:val="ZUSTzmustartykuempunktem"/>
        <w:tabs>
          <w:tab w:val="left" w:pos="426"/>
        </w:tabs>
        <w:ind w:left="426" w:hanging="426"/>
        <w:rPr>
          <w:rFonts w:ascii="Times New Roman" w:hAnsi="Times New Roman" w:cs="Times New Roman"/>
          <w:szCs w:val="24"/>
        </w:rPr>
      </w:pPr>
      <w:r w:rsidRPr="00C4755C">
        <w:rPr>
          <w:rFonts w:ascii="Times New Roman" w:hAnsi="Times New Roman" w:cs="Times New Roman"/>
          <w:szCs w:val="24"/>
        </w:rPr>
        <w:t>3)</w:t>
      </w:r>
      <w:r w:rsidRPr="00C4755C">
        <w:rPr>
          <w:rFonts w:ascii="Times New Roman" w:hAnsi="Times New Roman" w:cs="Times New Roman"/>
          <w:szCs w:val="24"/>
        </w:rPr>
        <w:tab/>
        <w:t xml:space="preserve">100 euro </w:t>
      </w:r>
      <w:r w:rsidR="00A133BB" w:rsidRPr="00C4755C">
        <w:rPr>
          <w:rFonts w:ascii="Times New Roman" w:hAnsi="Times New Roman" w:cs="Times New Roman"/>
          <w:szCs w:val="24"/>
        </w:rPr>
        <w:t>–</w:t>
      </w:r>
      <w:r w:rsidR="0039616B" w:rsidRPr="00C4755C">
        <w:rPr>
          <w:rFonts w:ascii="Times New Roman" w:hAnsi="Times New Roman" w:cs="Times New Roman"/>
          <w:szCs w:val="24"/>
        </w:rPr>
        <w:t xml:space="preserve"> </w:t>
      </w:r>
      <w:r w:rsidRPr="00C4755C">
        <w:rPr>
          <w:rFonts w:ascii="Times New Roman" w:hAnsi="Times New Roman" w:cs="Times New Roman"/>
          <w:szCs w:val="24"/>
        </w:rPr>
        <w:t xml:space="preserve">w przypadku gdy </w:t>
      </w:r>
      <w:r w:rsidR="001571F2" w:rsidRPr="00C4755C">
        <w:rPr>
          <w:rFonts w:ascii="Times New Roman" w:hAnsi="Times New Roman" w:cs="Times New Roman"/>
          <w:szCs w:val="24"/>
        </w:rPr>
        <w:t>wartość</w:t>
      </w:r>
      <w:r w:rsidR="001B4FCE" w:rsidRPr="00C4755C">
        <w:rPr>
          <w:rFonts w:ascii="Times New Roman" w:hAnsi="Times New Roman" w:cs="Times New Roman"/>
          <w:szCs w:val="24"/>
        </w:rPr>
        <w:t xml:space="preserve"> </w:t>
      </w:r>
      <w:r w:rsidRPr="00C4755C">
        <w:rPr>
          <w:rFonts w:ascii="Times New Roman" w:hAnsi="Times New Roman" w:cs="Times New Roman"/>
          <w:szCs w:val="24"/>
        </w:rPr>
        <w:t>świadczeni</w:t>
      </w:r>
      <w:r w:rsidR="001B4FCE" w:rsidRPr="00C4755C">
        <w:rPr>
          <w:rFonts w:ascii="Times New Roman" w:hAnsi="Times New Roman" w:cs="Times New Roman"/>
          <w:szCs w:val="24"/>
        </w:rPr>
        <w:t>a</w:t>
      </w:r>
      <w:r w:rsidRPr="00C4755C">
        <w:rPr>
          <w:rFonts w:ascii="Times New Roman" w:hAnsi="Times New Roman" w:cs="Times New Roman"/>
          <w:szCs w:val="24"/>
        </w:rPr>
        <w:t xml:space="preserve"> pieniężne</w:t>
      </w:r>
      <w:r w:rsidR="001B4FCE" w:rsidRPr="00C4755C">
        <w:rPr>
          <w:rFonts w:ascii="Times New Roman" w:hAnsi="Times New Roman" w:cs="Times New Roman"/>
          <w:szCs w:val="24"/>
        </w:rPr>
        <w:t>go</w:t>
      </w:r>
      <w:r w:rsidRPr="00C4755C">
        <w:rPr>
          <w:rFonts w:ascii="Times New Roman" w:hAnsi="Times New Roman" w:cs="Times New Roman"/>
          <w:szCs w:val="24"/>
        </w:rPr>
        <w:t xml:space="preserve"> jest równ</w:t>
      </w:r>
      <w:r w:rsidR="001B4FCE" w:rsidRPr="00C4755C">
        <w:rPr>
          <w:rFonts w:ascii="Times New Roman" w:hAnsi="Times New Roman" w:cs="Times New Roman"/>
          <w:szCs w:val="24"/>
        </w:rPr>
        <w:t>a</w:t>
      </w:r>
      <w:r w:rsidRPr="00C4755C">
        <w:rPr>
          <w:rFonts w:ascii="Times New Roman" w:hAnsi="Times New Roman" w:cs="Times New Roman"/>
          <w:szCs w:val="24"/>
        </w:rPr>
        <w:t xml:space="preserve"> lub wyższ</w:t>
      </w:r>
      <w:r w:rsidR="001B4FCE" w:rsidRPr="00C4755C">
        <w:rPr>
          <w:rFonts w:ascii="Times New Roman" w:hAnsi="Times New Roman" w:cs="Times New Roman"/>
          <w:szCs w:val="24"/>
        </w:rPr>
        <w:t>a</w:t>
      </w:r>
      <w:r w:rsidRPr="00C4755C">
        <w:rPr>
          <w:rFonts w:ascii="Times New Roman" w:hAnsi="Times New Roman" w:cs="Times New Roman"/>
          <w:szCs w:val="24"/>
        </w:rPr>
        <w:t xml:space="preserve"> od </w:t>
      </w:r>
      <w:r w:rsidR="00747744" w:rsidRPr="00C4755C">
        <w:rPr>
          <w:rFonts w:ascii="Times New Roman" w:hAnsi="Times New Roman" w:cs="Times New Roman"/>
          <w:szCs w:val="24"/>
        </w:rPr>
        <w:t>50</w:t>
      </w:r>
      <w:r w:rsidR="00DB59D8">
        <w:rPr>
          <w:rFonts w:ascii="Times New Roman" w:hAnsi="Times New Roman" w:cs="Times New Roman"/>
          <w:szCs w:val="24"/>
        </w:rPr>
        <w:t> </w:t>
      </w:r>
      <w:r w:rsidR="00170DEB" w:rsidRPr="00C4755C">
        <w:rPr>
          <w:rFonts w:ascii="Times New Roman" w:hAnsi="Times New Roman" w:cs="Times New Roman"/>
          <w:szCs w:val="24"/>
        </w:rPr>
        <w:t xml:space="preserve">000 </w:t>
      </w:r>
      <w:r w:rsidR="001B4FCE" w:rsidRPr="00C4755C">
        <w:rPr>
          <w:rFonts w:ascii="Times New Roman" w:hAnsi="Times New Roman" w:cs="Times New Roman"/>
          <w:szCs w:val="24"/>
        </w:rPr>
        <w:t>zł</w:t>
      </w:r>
      <w:r w:rsidRPr="00C4755C">
        <w:rPr>
          <w:rFonts w:ascii="Times New Roman" w:hAnsi="Times New Roman" w:cs="Times New Roman"/>
          <w:szCs w:val="24"/>
        </w:rPr>
        <w:t>.</w:t>
      </w:r>
    </w:p>
    <w:p w14:paraId="62A5FF1F" w14:textId="62229863" w:rsidR="00A673F8" w:rsidRPr="00C4755C" w:rsidRDefault="005D4CDB"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Zwiększenie obciążenia finansowego </w:t>
      </w:r>
      <w:r w:rsidR="00B60AE5" w:rsidRPr="00C4755C">
        <w:rPr>
          <w:rFonts w:ascii="Times New Roman" w:hAnsi="Times New Roman" w:cs="Times New Roman"/>
          <w:szCs w:val="24"/>
        </w:rPr>
        <w:t xml:space="preserve">w </w:t>
      </w:r>
      <w:r w:rsidRPr="00C4755C">
        <w:rPr>
          <w:rFonts w:ascii="Times New Roman" w:hAnsi="Times New Roman" w:cs="Times New Roman"/>
          <w:szCs w:val="24"/>
        </w:rPr>
        <w:t>razie opóźnień w zapłacie kontrahentom będzie dodatkowym bodźcem skłaniającym do terminowego regulowania należności.</w:t>
      </w:r>
      <w:r w:rsidR="00F867F2" w:rsidRPr="00C4755C">
        <w:rPr>
          <w:rFonts w:ascii="Times New Roman" w:hAnsi="Times New Roman" w:cs="Times New Roman"/>
          <w:szCs w:val="24"/>
        </w:rPr>
        <w:t xml:space="preserve"> </w:t>
      </w:r>
      <w:r w:rsidR="003104A8" w:rsidRPr="00C4755C">
        <w:rPr>
          <w:rFonts w:ascii="Times New Roman" w:hAnsi="Times New Roman" w:cs="Times New Roman"/>
          <w:szCs w:val="24"/>
        </w:rPr>
        <w:t>Równowartość k</w:t>
      </w:r>
      <w:r w:rsidR="0039616B" w:rsidRPr="00C4755C">
        <w:rPr>
          <w:rFonts w:ascii="Times New Roman" w:hAnsi="Times New Roman" w:cs="Times New Roman"/>
          <w:szCs w:val="24"/>
        </w:rPr>
        <w:t>wot</w:t>
      </w:r>
      <w:r w:rsidR="003104A8" w:rsidRPr="00C4755C">
        <w:rPr>
          <w:rFonts w:ascii="Times New Roman" w:hAnsi="Times New Roman" w:cs="Times New Roman"/>
          <w:szCs w:val="24"/>
        </w:rPr>
        <w:t>y</w:t>
      </w:r>
      <w:r w:rsidR="00F867F2" w:rsidRPr="00C4755C">
        <w:rPr>
          <w:rFonts w:ascii="Times New Roman" w:hAnsi="Times New Roman" w:cs="Times New Roman"/>
          <w:szCs w:val="24"/>
        </w:rPr>
        <w:t xml:space="preserve"> rekompensaty </w:t>
      </w:r>
      <w:r w:rsidR="003104A8" w:rsidRPr="00C4755C">
        <w:rPr>
          <w:rFonts w:ascii="Times New Roman" w:hAnsi="Times New Roman" w:cs="Times New Roman"/>
          <w:szCs w:val="24"/>
        </w:rPr>
        <w:t>ustalana będzie przy zastosowaniu kursu</w:t>
      </w:r>
      <w:r w:rsidR="003104A8" w:rsidRPr="00C4755C" w:rsidDel="00CE45BB">
        <w:rPr>
          <w:rFonts w:ascii="Times New Roman" w:hAnsi="Times New Roman" w:cs="Times New Roman"/>
          <w:szCs w:val="24"/>
        </w:rPr>
        <w:t xml:space="preserve"> </w:t>
      </w:r>
      <w:r w:rsidR="003104A8" w:rsidRPr="00C4755C">
        <w:rPr>
          <w:rFonts w:ascii="Times New Roman" w:hAnsi="Times New Roman" w:cs="Times New Roman"/>
          <w:szCs w:val="24"/>
        </w:rPr>
        <w:t>średniego euro ogłoszonego przez Narodowy Bank Polski ostatniego dnia roboczego miesiąca poprzedzającego miesiąc, w którym świadczenie pieniężne stało się wymagalne.</w:t>
      </w:r>
    </w:p>
    <w:p w14:paraId="15394386" w14:textId="25C97F5C" w:rsidR="00E7313C" w:rsidRPr="00C4755C" w:rsidRDefault="00B159F7" w:rsidP="00C4755C">
      <w:pPr>
        <w:spacing w:before="120"/>
        <w:jc w:val="both"/>
        <w:rPr>
          <w:rFonts w:cs="Times New Roman"/>
          <w:b/>
          <w:i/>
          <w:szCs w:val="24"/>
        </w:rPr>
      </w:pPr>
      <w:r w:rsidRPr="00C4755C">
        <w:rPr>
          <w:rFonts w:cs="Times New Roman"/>
          <w:b/>
          <w:i/>
          <w:szCs w:val="24"/>
        </w:rPr>
        <w:t>7</w:t>
      </w:r>
      <w:r w:rsidR="003001E1" w:rsidRPr="00C4755C">
        <w:rPr>
          <w:rFonts w:cs="Times New Roman"/>
          <w:b/>
          <w:i/>
          <w:szCs w:val="24"/>
        </w:rPr>
        <w:t>)</w:t>
      </w:r>
      <w:r w:rsidR="00CB7332" w:rsidRPr="00C4755C">
        <w:rPr>
          <w:rFonts w:cs="Times New Roman"/>
          <w:b/>
          <w:i/>
          <w:szCs w:val="24"/>
        </w:rPr>
        <w:t xml:space="preserve"> </w:t>
      </w:r>
      <w:r w:rsidR="00E7313C" w:rsidRPr="00C4755C">
        <w:rPr>
          <w:rFonts w:cs="Times New Roman"/>
          <w:b/>
          <w:i/>
          <w:szCs w:val="24"/>
        </w:rPr>
        <w:t xml:space="preserve">Rekompensata w przypadku </w:t>
      </w:r>
      <w:r w:rsidR="00CB7332" w:rsidRPr="00C4755C">
        <w:rPr>
          <w:rFonts w:cs="Times New Roman"/>
          <w:b/>
          <w:i/>
          <w:szCs w:val="24"/>
        </w:rPr>
        <w:t xml:space="preserve">przeniesienia </w:t>
      </w:r>
      <w:r w:rsidR="00E7313C" w:rsidRPr="00C4755C">
        <w:rPr>
          <w:rFonts w:cs="Times New Roman"/>
          <w:b/>
          <w:i/>
          <w:szCs w:val="24"/>
        </w:rPr>
        <w:t>należności</w:t>
      </w:r>
      <w:r w:rsidR="008C0B0A" w:rsidRPr="00C4755C">
        <w:rPr>
          <w:rFonts w:cs="Times New Roman"/>
          <w:b/>
          <w:i/>
          <w:szCs w:val="24"/>
        </w:rPr>
        <w:t xml:space="preserve"> (art. 10 ust. </w:t>
      </w:r>
      <w:r w:rsidR="00CB7332" w:rsidRPr="00C4755C">
        <w:rPr>
          <w:rFonts w:cs="Times New Roman"/>
          <w:b/>
          <w:i/>
          <w:szCs w:val="24"/>
        </w:rPr>
        <w:t>4</w:t>
      </w:r>
      <w:r w:rsidR="008C0B0A" w:rsidRPr="00C4755C">
        <w:rPr>
          <w:rFonts w:cs="Times New Roman"/>
          <w:b/>
          <w:i/>
          <w:szCs w:val="24"/>
        </w:rPr>
        <w:t>)</w:t>
      </w:r>
    </w:p>
    <w:p w14:paraId="257833FD" w14:textId="2A829273" w:rsidR="003059F7" w:rsidRPr="00C4755C" w:rsidRDefault="00C1305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 obrocie gospodarczym można zaobserwować zjawisko kumulowania rekompensat. </w:t>
      </w:r>
      <w:r w:rsidR="00960AF2" w:rsidRPr="00C4755C">
        <w:rPr>
          <w:rFonts w:ascii="Times New Roman" w:hAnsi="Times New Roman" w:cs="Times New Roman"/>
          <w:szCs w:val="24"/>
        </w:rPr>
        <w:t>D</w:t>
      </w:r>
      <w:r w:rsidRPr="00C4755C">
        <w:rPr>
          <w:rFonts w:ascii="Times New Roman" w:hAnsi="Times New Roman" w:cs="Times New Roman"/>
          <w:szCs w:val="24"/>
        </w:rPr>
        <w:t>łużnicy</w:t>
      </w:r>
      <w:r w:rsidR="00960AF2" w:rsidRPr="00C4755C">
        <w:rPr>
          <w:rFonts w:ascii="Times New Roman" w:hAnsi="Times New Roman" w:cs="Times New Roman"/>
          <w:szCs w:val="24"/>
        </w:rPr>
        <w:t xml:space="preserve">, często będący dużymi podmiotami </w:t>
      </w:r>
      <w:r w:rsidRPr="00C4755C">
        <w:rPr>
          <w:rFonts w:ascii="Times New Roman" w:hAnsi="Times New Roman" w:cs="Times New Roman"/>
          <w:szCs w:val="24"/>
        </w:rPr>
        <w:t>świadczący</w:t>
      </w:r>
      <w:r w:rsidR="00960AF2" w:rsidRPr="00C4755C">
        <w:rPr>
          <w:rFonts w:ascii="Times New Roman" w:hAnsi="Times New Roman" w:cs="Times New Roman"/>
          <w:szCs w:val="24"/>
        </w:rPr>
        <w:t>mi</w:t>
      </w:r>
      <w:r w:rsidRPr="00C4755C">
        <w:rPr>
          <w:rFonts w:ascii="Times New Roman" w:hAnsi="Times New Roman" w:cs="Times New Roman"/>
          <w:szCs w:val="24"/>
        </w:rPr>
        <w:t xml:space="preserve"> usługi okresowe, w których jednostkowe należności są stosunkowo niewielkie, zwlekają z dochodzeniem</w:t>
      </w:r>
      <w:r w:rsidR="00960AF2" w:rsidRPr="00C4755C">
        <w:rPr>
          <w:rFonts w:ascii="Times New Roman" w:hAnsi="Times New Roman" w:cs="Times New Roman"/>
          <w:szCs w:val="24"/>
        </w:rPr>
        <w:t xml:space="preserve"> tych należności, dopuszczając do ich wymagalności</w:t>
      </w:r>
      <w:r w:rsidRPr="00C4755C">
        <w:rPr>
          <w:rFonts w:ascii="Times New Roman" w:hAnsi="Times New Roman" w:cs="Times New Roman"/>
          <w:szCs w:val="24"/>
        </w:rPr>
        <w:t xml:space="preserve">. Następnie, </w:t>
      </w:r>
      <w:r w:rsidR="00960AF2" w:rsidRPr="00C4755C">
        <w:rPr>
          <w:rFonts w:ascii="Times New Roman" w:hAnsi="Times New Roman" w:cs="Times New Roman"/>
          <w:szCs w:val="24"/>
        </w:rPr>
        <w:t xml:space="preserve">dokonują zbiorczego przeniesienia (przelewu) tych należności na inne podmioty, które również zbiorczo dochodzą </w:t>
      </w:r>
      <w:r w:rsidR="00681DB7" w:rsidRPr="00C4755C">
        <w:rPr>
          <w:rFonts w:ascii="Times New Roman" w:hAnsi="Times New Roman" w:cs="Times New Roman"/>
          <w:szCs w:val="24"/>
        </w:rPr>
        <w:t xml:space="preserve">ich </w:t>
      </w:r>
      <w:r w:rsidR="00960AF2" w:rsidRPr="00C4755C">
        <w:rPr>
          <w:rFonts w:ascii="Times New Roman" w:hAnsi="Times New Roman" w:cs="Times New Roman"/>
          <w:szCs w:val="24"/>
        </w:rPr>
        <w:t xml:space="preserve">od dłużników. Jednoczesne dochodzenie takich wymagalnych należności nie powoduje zwielokrotnionych kosztów. </w:t>
      </w:r>
      <w:r w:rsidR="002B6D58" w:rsidRPr="00C4755C">
        <w:rPr>
          <w:rFonts w:ascii="Times New Roman" w:hAnsi="Times New Roman" w:cs="Times New Roman"/>
          <w:szCs w:val="24"/>
        </w:rPr>
        <w:t>Przedmiotem przelewu są należności wymagalne</w:t>
      </w:r>
      <w:r w:rsidR="006E11A0" w:rsidRPr="00C4755C">
        <w:rPr>
          <w:rFonts w:ascii="Times New Roman" w:hAnsi="Times New Roman" w:cs="Times New Roman"/>
          <w:szCs w:val="24"/>
        </w:rPr>
        <w:t xml:space="preserve"> i</w:t>
      </w:r>
      <w:r w:rsidR="00C4755C">
        <w:rPr>
          <w:rFonts w:ascii="Times New Roman" w:hAnsi="Times New Roman" w:cs="Times New Roman"/>
          <w:szCs w:val="24"/>
        </w:rPr>
        <w:t xml:space="preserve"> </w:t>
      </w:r>
      <w:r w:rsidR="00681DB7" w:rsidRPr="00C4755C">
        <w:rPr>
          <w:rFonts w:ascii="Times New Roman" w:hAnsi="Times New Roman" w:cs="Times New Roman"/>
          <w:szCs w:val="24"/>
        </w:rPr>
        <w:t>najczęściej niesporne</w:t>
      </w:r>
      <w:r w:rsidR="002B6D58" w:rsidRPr="00C4755C">
        <w:rPr>
          <w:rFonts w:ascii="Times New Roman" w:hAnsi="Times New Roman" w:cs="Times New Roman"/>
          <w:szCs w:val="24"/>
        </w:rPr>
        <w:t xml:space="preserve">, a więc podlegające łatwemu łączeniu w większe „pakiety”. </w:t>
      </w:r>
      <w:r w:rsidR="006E11A0" w:rsidRPr="00C4755C">
        <w:rPr>
          <w:rFonts w:ascii="Times New Roman" w:hAnsi="Times New Roman" w:cs="Times New Roman"/>
          <w:szCs w:val="24"/>
        </w:rPr>
        <w:t>W</w:t>
      </w:r>
      <w:r w:rsidR="00C4755C">
        <w:rPr>
          <w:rFonts w:ascii="Times New Roman" w:hAnsi="Times New Roman" w:cs="Times New Roman"/>
          <w:szCs w:val="24"/>
        </w:rPr>
        <w:t xml:space="preserve"> </w:t>
      </w:r>
      <w:r w:rsidR="00681DB7" w:rsidRPr="00C4755C">
        <w:rPr>
          <w:rFonts w:ascii="Times New Roman" w:hAnsi="Times New Roman" w:cs="Times New Roman"/>
          <w:szCs w:val="24"/>
        </w:rPr>
        <w:t>rezultacie, najczęściej dochodzenie tych należności polega na czynnościach odnoszących się do wszystkich należności połączonych w taki „pakiet”.</w:t>
      </w:r>
    </w:p>
    <w:p w14:paraId="3FF00086" w14:textId="3E27C357" w:rsidR="002B6D58" w:rsidRPr="00C4755C" w:rsidRDefault="002B6D58"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Zgodnie z art. 10 ust. 1 ustawy, rekompensata stanowi ryczałtowy zwrot kosztów odzyskiwania należności</w:t>
      </w:r>
      <w:r w:rsidR="00F40CDA" w:rsidRPr="00C4755C">
        <w:rPr>
          <w:rFonts w:ascii="Times New Roman" w:hAnsi="Times New Roman" w:cs="Times New Roman"/>
          <w:szCs w:val="24"/>
        </w:rPr>
        <w:t>. Chociaż ustawa i orzecznictwo</w:t>
      </w:r>
      <w:r w:rsidR="00F40CDA" w:rsidRPr="00C4755C">
        <w:rPr>
          <w:rStyle w:val="Odwoanieprzypisudolnego"/>
          <w:rFonts w:ascii="Times New Roman" w:hAnsi="Times New Roman"/>
          <w:szCs w:val="24"/>
        </w:rPr>
        <w:footnoteReference w:id="22"/>
      </w:r>
      <w:r w:rsidR="00312E96" w:rsidRPr="00C4755C">
        <w:rPr>
          <w:rFonts w:ascii="Times New Roman" w:hAnsi="Times New Roman" w:cs="Times New Roman"/>
          <w:szCs w:val="24"/>
          <w:vertAlign w:val="superscript"/>
        </w:rPr>
        <w:t>)</w:t>
      </w:r>
      <w:r w:rsidR="00F40CDA" w:rsidRPr="00C4755C">
        <w:rPr>
          <w:rFonts w:ascii="Times New Roman" w:hAnsi="Times New Roman" w:cs="Times New Roman"/>
          <w:szCs w:val="24"/>
        </w:rPr>
        <w:t xml:space="preserve"> nie wymaga</w:t>
      </w:r>
      <w:r w:rsidR="0039616B" w:rsidRPr="00C4755C">
        <w:rPr>
          <w:rFonts w:ascii="Times New Roman" w:hAnsi="Times New Roman" w:cs="Times New Roman"/>
          <w:szCs w:val="24"/>
        </w:rPr>
        <w:t>ją</w:t>
      </w:r>
      <w:r w:rsidR="00F40CDA" w:rsidRPr="00C4755C">
        <w:rPr>
          <w:rFonts w:ascii="Times New Roman" w:hAnsi="Times New Roman" w:cs="Times New Roman"/>
          <w:szCs w:val="24"/>
        </w:rPr>
        <w:t xml:space="preserve"> wykazywania poniesienia jakichkolwiek kosztów, to nie wolno tracić z pola widzenia</w:t>
      </w:r>
      <w:r w:rsidR="00417B0E" w:rsidRPr="00C4755C">
        <w:rPr>
          <w:rFonts w:ascii="Times New Roman" w:hAnsi="Times New Roman" w:cs="Times New Roman"/>
          <w:szCs w:val="24"/>
        </w:rPr>
        <w:t xml:space="preserve"> tego</w:t>
      </w:r>
      <w:r w:rsidR="00F40CDA" w:rsidRPr="00C4755C">
        <w:rPr>
          <w:rFonts w:ascii="Times New Roman" w:hAnsi="Times New Roman" w:cs="Times New Roman"/>
          <w:szCs w:val="24"/>
        </w:rPr>
        <w:t xml:space="preserve"> </w:t>
      </w:r>
      <w:r w:rsidR="00F40CDA" w:rsidRPr="00C4755C">
        <w:rPr>
          <w:rFonts w:ascii="Times New Roman" w:hAnsi="Times New Roman" w:cs="Times New Roman"/>
          <w:i/>
          <w:szCs w:val="24"/>
        </w:rPr>
        <w:t>ratio legis</w:t>
      </w:r>
      <w:r w:rsidR="00F40CDA" w:rsidRPr="00C4755C">
        <w:rPr>
          <w:rFonts w:ascii="Times New Roman" w:hAnsi="Times New Roman" w:cs="Times New Roman"/>
          <w:szCs w:val="24"/>
        </w:rPr>
        <w:t>. Zjawisko kumulowania rekompensat prowadzi do zachwian</w:t>
      </w:r>
      <w:r w:rsidR="009B2356" w:rsidRPr="00C4755C">
        <w:rPr>
          <w:rFonts w:ascii="Times New Roman" w:hAnsi="Times New Roman" w:cs="Times New Roman"/>
          <w:szCs w:val="24"/>
        </w:rPr>
        <w:t>ia relacji należności głównej i</w:t>
      </w:r>
      <w:r w:rsidR="00C4755C">
        <w:rPr>
          <w:rFonts w:ascii="Times New Roman" w:hAnsi="Times New Roman" w:cs="Times New Roman"/>
          <w:szCs w:val="24"/>
        </w:rPr>
        <w:t xml:space="preserve"> </w:t>
      </w:r>
      <w:r w:rsidR="00F40CDA" w:rsidRPr="00C4755C">
        <w:rPr>
          <w:rFonts w:ascii="Times New Roman" w:hAnsi="Times New Roman" w:cs="Times New Roman"/>
          <w:szCs w:val="24"/>
        </w:rPr>
        <w:t>należności ubocznej, któr</w:t>
      </w:r>
      <w:r w:rsidR="003C47F8" w:rsidRPr="00C4755C">
        <w:rPr>
          <w:rFonts w:ascii="Times New Roman" w:hAnsi="Times New Roman" w:cs="Times New Roman"/>
          <w:szCs w:val="24"/>
        </w:rPr>
        <w:t>ą</w:t>
      </w:r>
      <w:r w:rsidR="00F40CDA" w:rsidRPr="00C4755C">
        <w:rPr>
          <w:rFonts w:ascii="Times New Roman" w:hAnsi="Times New Roman" w:cs="Times New Roman"/>
          <w:szCs w:val="24"/>
        </w:rPr>
        <w:t xml:space="preserve"> niewątpliwie jest rekompensata. Suma rekompensat bywa zbliżona albo nawet wyższa od sumy należności głównych. Takie sytuacje słusznie </w:t>
      </w:r>
      <w:r w:rsidR="00F40CDA" w:rsidRPr="00C4755C">
        <w:rPr>
          <w:rFonts w:ascii="Times New Roman" w:hAnsi="Times New Roman" w:cs="Times New Roman"/>
          <w:szCs w:val="24"/>
        </w:rPr>
        <w:lastRenderedPageBreak/>
        <w:t>postrzegane są jako krzywdzące</w:t>
      </w:r>
      <w:r w:rsidR="002A0BF6" w:rsidRPr="00C4755C">
        <w:rPr>
          <w:rFonts w:ascii="Times New Roman" w:hAnsi="Times New Roman" w:cs="Times New Roman"/>
          <w:szCs w:val="24"/>
        </w:rPr>
        <w:t xml:space="preserve"> dla dłużników</w:t>
      </w:r>
      <w:r w:rsidR="00F40CDA" w:rsidRPr="00C4755C">
        <w:rPr>
          <w:rFonts w:ascii="Times New Roman" w:hAnsi="Times New Roman" w:cs="Times New Roman"/>
          <w:szCs w:val="24"/>
        </w:rPr>
        <w:t>.</w:t>
      </w:r>
      <w:r w:rsidR="00731939" w:rsidRPr="00C4755C">
        <w:rPr>
          <w:rFonts w:ascii="Times New Roman" w:hAnsi="Times New Roman" w:cs="Times New Roman"/>
          <w:szCs w:val="24"/>
        </w:rPr>
        <w:t xml:space="preserve"> Obowiązująca ustawa nie przewiduje rozwiązań, które łagodziłyby negatywne skutki albo ograniczały takie zjawiska. Jedynym sposobem obrony przed nadużyciem prawa do rekompensaty jest powołanie się na przepis art. 5 Kodeksu cywilnego</w:t>
      </w:r>
      <w:r w:rsidR="00731939" w:rsidRPr="00C4755C">
        <w:rPr>
          <w:rStyle w:val="Odwoanieprzypisudolnego"/>
          <w:rFonts w:ascii="Times New Roman" w:hAnsi="Times New Roman"/>
          <w:szCs w:val="24"/>
        </w:rPr>
        <w:footnoteReference w:id="23"/>
      </w:r>
      <w:r w:rsidR="00312E96" w:rsidRPr="00C4755C">
        <w:rPr>
          <w:rFonts w:ascii="Times New Roman" w:hAnsi="Times New Roman" w:cs="Times New Roman"/>
          <w:szCs w:val="24"/>
          <w:vertAlign w:val="superscript"/>
        </w:rPr>
        <w:t>)</w:t>
      </w:r>
      <w:r w:rsidR="00731939" w:rsidRPr="00C4755C">
        <w:rPr>
          <w:rFonts w:ascii="Times New Roman" w:hAnsi="Times New Roman" w:cs="Times New Roman"/>
          <w:szCs w:val="24"/>
        </w:rPr>
        <w:t xml:space="preserve">, co jednak </w:t>
      </w:r>
      <w:r w:rsidR="002A0BF6" w:rsidRPr="00C4755C">
        <w:rPr>
          <w:rFonts w:ascii="Times New Roman" w:hAnsi="Times New Roman" w:cs="Times New Roman"/>
          <w:szCs w:val="24"/>
        </w:rPr>
        <w:t xml:space="preserve">w praktyce </w:t>
      </w:r>
      <w:r w:rsidR="00731939" w:rsidRPr="00C4755C">
        <w:rPr>
          <w:rFonts w:ascii="Times New Roman" w:hAnsi="Times New Roman" w:cs="Times New Roman"/>
          <w:szCs w:val="24"/>
        </w:rPr>
        <w:t xml:space="preserve">zmusza </w:t>
      </w:r>
      <w:r w:rsidR="002A0BF6" w:rsidRPr="00C4755C">
        <w:rPr>
          <w:rFonts w:ascii="Times New Roman" w:hAnsi="Times New Roman" w:cs="Times New Roman"/>
          <w:szCs w:val="24"/>
        </w:rPr>
        <w:t xml:space="preserve">dłużników </w:t>
      </w:r>
      <w:r w:rsidR="00731939" w:rsidRPr="00C4755C">
        <w:rPr>
          <w:rFonts w:ascii="Times New Roman" w:hAnsi="Times New Roman" w:cs="Times New Roman"/>
          <w:szCs w:val="24"/>
        </w:rPr>
        <w:t>do kierowania spraw na drogę sądową. W rezultacie dłużnicy narażani są na dodatkowe koszty i zaangażowanie swojego czasu i sądy niepotrzebnie zajmują się sprawami stosunkowo prostymi, w których obiektywnie oceniana wartość sporu jest niewielka</w:t>
      </w:r>
      <w:r w:rsidR="00731939" w:rsidRPr="00C4755C">
        <w:rPr>
          <w:rStyle w:val="Odwoanieprzypisudolnego"/>
          <w:rFonts w:ascii="Times New Roman" w:hAnsi="Times New Roman"/>
          <w:szCs w:val="24"/>
        </w:rPr>
        <w:footnoteReference w:id="24"/>
      </w:r>
      <w:r w:rsidR="00312E96" w:rsidRPr="00C4755C">
        <w:rPr>
          <w:rFonts w:ascii="Times New Roman" w:hAnsi="Times New Roman" w:cs="Times New Roman"/>
          <w:szCs w:val="24"/>
          <w:vertAlign w:val="superscript"/>
        </w:rPr>
        <w:t>)</w:t>
      </w:r>
      <w:r w:rsidR="006E11A0" w:rsidRPr="00C4755C">
        <w:rPr>
          <w:rFonts w:ascii="Times New Roman" w:hAnsi="Times New Roman" w:cs="Times New Roman"/>
          <w:szCs w:val="24"/>
        </w:rPr>
        <w:t>.</w:t>
      </w:r>
    </w:p>
    <w:p w14:paraId="6476D1D9" w14:textId="4F1998B2" w:rsidR="00B60AE5" w:rsidRPr="00C4755C" w:rsidRDefault="0039616B"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Prawo gospodarcze poza regulowaniem zasad obrotu</w:t>
      </w:r>
      <w:r w:rsidR="006256B0" w:rsidRPr="00C4755C">
        <w:rPr>
          <w:rFonts w:ascii="Times New Roman" w:hAnsi="Times New Roman" w:cs="Times New Roman"/>
          <w:szCs w:val="24"/>
        </w:rPr>
        <w:t xml:space="preserve"> powinno odpowiadać poczuciu </w:t>
      </w:r>
      <w:r w:rsidR="00A23234" w:rsidRPr="00C4755C">
        <w:rPr>
          <w:rFonts w:ascii="Times New Roman" w:hAnsi="Times New Roman" w:cs="Times New Roman"/>
          <w:szCs w:val="24"/>
        </w:rPr>
        <w:t>sprawiedliwości</w:t>
      </w:r>
      <w:r w:rsidR="006256B0" w:rsidRPr="00C4755C">
        <w:rPr>
          <w:rFonts w:ascii="Times New Roman" w:hAnsi="Times New Roman" w:cs="Times New Roman"/>
          <w:szCs w:val="24"/>
        </w:rPr>
        <w:t>.</w:t>
      </w:r>
      <w:r w:rsidR="0064055C" w:rsidRPr="00C4755C">
        <w:rPr>
          <w:rFonts w:ascii="Times New Roman" w:hAnsi="Times New Roman" w:cs="Times New Roman"/>
          <w:szCs w:val="24"/>
        </w:rPr>
        <w:t xml:space="preserve"> Poprzestanie na stosowaniu prze</w:t>
      </w:r>
      <w:r w:rsidR="009B2356" w:rsidRPr="00C4755C">
        <w:rPr>
          <w:rFonts w:ascii="Times New Roman" w:hAnsi="Times New Roman" w:cs="Times New Roman"/>
          <w:szCs w:val="24"/>
        </w:rPr>
        <w:t>pisu art. 5 Kodeksu cywilnego w</w:t>
      </w:r>
      <w:r w:rsidR="00C4755C">
        <w:rPr>
          <w:rFonts w:ascii="Times New Roman" w:hAnsi="Times New Roman" w:cs="Times New Roman"/>
          <w:szCs w:val="24"/>
        </w:rPr>
        <w:t xml:space="preserve"> </w:t>
      </w:r>
      <w:r w:rsidR="0064055C" w:rsidRPr="00C4755C">
        <w:rPr>
          <w:rFonts w:ascii="Times New Roman" w:hAnsi="Times New Roman" w:cs="Times New Roman"/>
          <w:szCs w:val="24"/>
        </w:rPr>
        <w:t>odniesieniu do kumulacji rekompensat jest niepraktyczne i niepotrzebnie obciąża wierzycieli oraz angażuje wymiar sprawiedliwości. Z tego względu</w:t>
      </w:r>
      <w:r w:rsidR="00967C95" w:rsidRPr="00C4755C">
        <w:rPr>
          <w:rFonts w:ascii="Times New Roman" w:hAnsi="Times New Roman" w:cs="Times New Roman"/>
          <w:szCs w:val="24"/>
        </w:rPr>
        <w:t>, na podstawie obserwacji życia gospodarczego, ustaw</w:t>
      </w:r>
      <w:r w:rsidR="003A218A" w:rsidRPr="00C4755C">
        <w:rPr>
          <w:rFonts w:ascii="Times New Roman" w:hAnsi="Times New Roman" w:cs="Times New Roman"/>
          <w:szCs w:val="24"/>
        </w:rPr>
        <w:t xml:space="preserve">odawca powinien </w:t>
      </w:r>
      <w:r w:rsidR="00967C95" w:rsidRPr="00C4755C">
        <w:rPr>
          <w:rFonts w:ascii="Times New Roman" w:hAnsi="Times New Roman" w:cs="Times New Roman"/>
          <w:szCs w:val="24"/>
        </w:rPr>
        <w:t>dokonać uogólnienia służącego uproszczeniu procesów gospo</w:t>
      </w:r>
      <w:r w:rsidR="000C61F4" w:rsidRPr="00C4755C">
        <w:rPr>
          <w:rFonts w:ascii="Times New Roman" w:hAnsi="Times New Roman" w:cs="Times New Roman"/>
          <w:szCs w:val="24"/>
        </w:rPr>
        <w:t>darczych.</w:t>
      </w:r>
    </w:p>
    <w:p w14:paraId="056D22CB" w14:textId="167DAF0F" w:rsidR="005A4511" w:rsidRPr="00C4755C" w:rsidRDefault="00967C9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 związku z powyższym </w:t>
      </w:r>
      <w:r w:rsidR="00204900" w:rsidRPr="00C4755C">
        <w:rPr>
          <w:rFonts w:ascii="Times New Roman" w:hAnsi="Times New Roman" w:cs="Times New Roman"/>
          <w:szCs w:val="24"/>
        </w:rPr>
        <w:t>proponuje się znie</w:t>
      </w:r>
      <w:r w:rsidR="00F3246B" w:rsidRPr="00C4755C">
        <w:rPr>
          <w:rFonts w:ascii="Times New Roman" w:hAnsi="Times New Roman" w:cs="Times New Roman"/>
          <w:szCs w:val="24"/>
        </w:rPr>
        <w:t>sienie zbywalności roszczenia o</w:t>
      </w:r>
      <w:r w:rsidR="00C4755C">
        <w:rPr>
          <w:rFonts w:ascii="Times New Roman" w:hAnsi="Times New Roman" w:cs="Times New Roman"/>
          <w:szCs w:val="24"/>
        </w:rPr>
        <w:t xml:space="preserve"> </w:t>
      </w:r>
      <w:r w:rsidR="001571F2" w:rsidRPr="00C4755C">
        <w:rPr>
          <w:rFonts w:ascii="Times New Roman" w:hAnsi="Times New Roman" w:cs="Times New Roman"/>
          <w:szCs w:val="24"/>
        </w:rPr>
        <w:t>rekompensatę</w:t>
      </w:r>
      <w:r w:rsidR="00204900" w:rsidRPr="00C4755C">
        <w:rPr>
          <w:rFonts w:ascii="Times New Roman" w:hAnsi="Times New Roman" w:cs="Times New Roman"/>
          <w:szCs w:val="24"/>
        </w:rPr>
        <w:t>.</w:t>
      </w:r>
      <w:r w:rsidR="003104A8" w:rsidRPr="00C4755C">
        <w:rPr>
          <w:rFonts w:ascii="Times New Roman" w:hAnsi="Times New Roman" w:cs="Times New Roman"/>
          <w:szCs w:val="24"/>
        </w:rPr>
        <w:t xml:space="preserve"> </w:t>
      </w:r>
      <w:r w:rsidR="002147A9" w:rsidRPr="00C4755C">
        <w:rPr>
          <w:rFonts w:ascii="Times New Roman" w:hAnsi="Times New Roman" w:cs="Times New Roman"/>
          <w:szCs w:val="24"/>
        </w:rPr>
        <w:t>W konsekwencji p</w:t>
      </w:r>
      <w:r w:rsidR="008C0B0A" w:rsidRPr="00C4755C">
        <w:rPr>
          <w:rFonts w:ascii="Times New Roman" w:hAnsi="Times New Roman" w:cs="Times New Roman"/>
          <w:szCs w:val="24"/>
        </w:rPr>
        <w:t xml:space="preserve">rojektowany przepis art. 10 ust. </w:t>
      </w:r>
      <w:r w:rsidR="00A051AD" w:rsidRPr="00C4755C">
        <w:rPr>
          <w:rFonts w:ascii="Times New Roman" w:hAnsi="Times New Roman" w:cs="Times New Roman"/>
          <w:szCs w:val="24"/>
        </w:rPr>
        <w:t>4</w:t>
      </w:r>
      <w:r w:rsidR="008C0B0A" w:rsidRPr="00C4755C">
        <w:rPr>
          <w:rFonts w:ascii="Times New Roman" w:hAnsi="Times New Roman" w:cs="Times New Roman"/>
          <w:szCs w:val="24"/>
        </w:rPr>
        <w:t xml:space="preserve"> stanowi wyważenie interesów </w:t>
      </w:r>
      <w:r w:rsidR="005D4CDB" w:rsidRPr="00C4755C">
        <w:rPr>
          <w:rFonts w:ascii="Times New Roman" w:hAnsi="Times New Roman" w:cs="Times New Roman"/>
          <w:szCs w:val="24"/>
        </w:rPr>
        <w:t xml:space="preserve">pierwotnego </w:t>
      </w:r>
      <w:r w:rsidR="006E11A0" w:rsidRPr="00C4755C">
        <w:rPr>
          <w:rFonts w:ascii="Times New Roman" w:hAnsi="Times New Roman" w:cs="Times New Roman"/>
          <w:szCs w:val="24"/>
        </w:rPr>
        <w:t>dłużnika i</w:t>
      </w:r>
      <w:r w:rsidR="00584C51" w:rsidRPr="00C4755C">
        <w:rPr>
          <w:rFonts w:ascii="Times New Roman" w:hAnsi="Times New Roman" w:cs="Times New Roman"/>
          <w:szCs w:val="24"/>
        </w:rPr>
        <w:t xml:space="preserve"> </w:t>
      </w:r>
      <w:r w:rsidR="009A682F" w:rsidRPr="00C4755C">
        <w:rPr>
          <w:rFonts w:ascii="Times New Roman" w:hAnsi="Times New Roman" w:cs="Times New Roman"/>
          <w:szCs w:val="24"/>
        </w:rPr>
        <w:t>wtórnego wierzyciela</w:t>
      </w:r>
      <w:r w:rsidR="005D4CDB" w:rsidRPr="00C4755C">
        <w:rPr>
          <w:rFonts w:ascii="Times New Roman" w:hAnsi="Times New Roman" w:cs="Times New Roman"/>
          <w:szCs w:val="24"/>
        </w:rPr>
        <w:t xml:space="preserve"> należności z </w:t>
      </w:r>
      <w:r w:rsidR="008C0B0A" w:rsidRPr="00C4755C">
        <w:rPr>
          <w:rFonts w:ascii="Times New Roman" w:hAnsi="Times New Roman" w:cs="Times New Roman"/>
          <w:szCs w:val="24"/>
        </w:rPr>
        <w:t>transakcji handlowej.</w:t>
      </w:r>
    </w:p>
    <w:p w14:paraId="3D28D27F" w14:textId="6EB18CBE" w:rsidR="00E7313C" w:rsidRPr="00C4755C" w:rsidRDefault="00B159F7" w:rsidP="00C4755C">
      <w:pPr>
        <w:spacing w:before="120"/>
        <w:jc w:val="both"/>
        <w:rPr>
          <w:rFonts w:cs="Times New Roman"/>
          <w:b/>
          <w:i/>
          <w:szCs w:val="24"/>
        </w:rPr>
      </w:pPr>
      <w:r w:rsidRPr="00C4755C">
        <w:rPr>
          <w:rFonts w:cs="Times New Roman"/>
          <w:b/>
          <w:i/>
          <w:szCs w:val="24"/>
        </w:rPr>
        <w:t>8</w:t>
      </w:r>
      <w:r w:rsidR="00A051AD" w:rsidRPr="00C4755C">
        <w:rPr>
          <w:rFonts w:cs="Times New Roman"/>
          <w:b/>
          <w:i/>
          <w:szCs w:val="24"/>
        </w:rPr>
        <w:t xml:space="preserve">) </w:t>
      </w:r>
      <w:r w:rsidR="00E7313C" w:rsidRPr="00C4755C">
        <w:rPr>
          <w:rFonts w:cs="Times New Roman"/>
          <w:b/>
          <w:i/>
          <w:szCs w:val="24"/>
        </w:rPr>
        <w:t xml:space="preserve">Doprecyzowanie katalogu </w:t>
      </w:r>
      <w:r w:rsidR="00051E45" w:rsidRPr="00C4755C">
        <w:rPr>
          <w:rFonts w:cs="Times New Roman"/>
          <w:b/>
          <w:i/>
          <w:szCs w:val="24"/>
        </w:rPr>
        <w:t xml:space="preserve">praktyk płatniczych </w:t>
      </w:r>
      <w:r w:rsidR="00EF068D" w:rsidRPr="00C4755C">
        <w:rPr>
          <w:rFonts w:cs="Times New Roman"/>
          <w:b/>
          <w:i/>
          <w:szCs w:val="24"/>
        </w:rPr>
        <w:t xml:space="preserve">rażąco nieuczciwych wobec wierzyciela </w:t>
      </w:r>
      <w:r w:rsidR="00051E45" w:rsidRPr="00C4755C">
        <w:rPr>
          <w:rFonts w:cs="Times New Roman"/>
          <w:b/>
          <w:i/>
          <w:szCs w:val="24"/>
        </w:rPr>
        <w:t>(art. 11a ust. 1)</w:t>
      </w:r>
    </w:p>
    <w:p w14:paraId="62202F6C" w14:textId="4E8FA7A7" w:rsidR="00241D44" w:rsidRPr="00C4755C" w:rsidRDefault="009B798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Ustawa o terminach zapłaty</w:t>
      </w:r>
      <w:r w:rsidR="009A682F" w:rsidRPr="00C4755C">
        <w:rPr>
          <w:rFonts w:ascii="Times New Roman" w:hAnsi="Times New Roman" w:cs="Times New Roman"/>
          <w:szCs w:val="24"/>
        </w:rPr>
        <w:t xml:space="preserve"> w transakcjach handlowych</w:t>
      </w:r>
      <w:r w:rsidRPr="00C4755C">
        <w:rPr>
          <w:rFonts w:ascii="Times New Roman" w:hAnsi="Times New Roman" w:cs="Times New Roman"/>
          <w:szCs w:val="24"/>
        </w:rPr>
        <w:t xml:space="preserve"> przewiduje rygorystyczne zasady wyznaczania</w:t>
      </w:r>
      <w:r w:rsidR="00487A26" w:rsidRPr="00C4755C">
        <w:rPr>
          <w:rFonts w:ascii="Times New Roman" w:hAnsi="Times New Roman" w:cs="Times New Roman"/>
          <w:szCs w:val="24"/>
        </w:rPr>
        <w:t xml:space="preserve"> terminów</w:t>
      </w:r>
      <w:r w:rsidRPr="00C4755C">
        <w:rPr>
          <w:rFonts w:ascii="Times New Roman" w:hAnsi="Times New Roman" w:cs="Times New Roman"/>
          <w:szCs w:val="24"/>
        </w:rPr>
        <w:t xml:space="preserve"> płatności w transakcjach handlowych.</w:t>
      </w:r>
    </w:p>
    <w:p w14:paraId="07C8218C" w14:textId="3E095A7D" w:rsidR="0070200F" w:rsidRPr="00C4755C" w:rsidRDefault="00E70C88"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obrocie handlowym mi</w:t>
      </w:r>
      <w:r w:rsidR="00EA63A1" w:rsidRPr="00C4755C">
        <w:rPr>
          <w:rFonts w:ascii="Times New Roman" w:hAnsi="Times New Roman" w:cs="Times New Roman"/>
          <w:szCs w:val="24"/>
        </w:rPr>
        <w:t>ę</w:t>
      </w:r>
      <w:r w:rsidRPr="00C4755C">
        <w:rPr>
          <w:rFonts w:ascii="Times New Roman" w:hAnsi="Times New Roman" w:cs="Times New Roman"/>
          <w:szCs w:val="24"/>
        </w:rPr>
        <w:t>dzy podmiotami prywatnymi z</w:t>
      </w:r>
      <w:r w:rsidR="00A7752F" w:rsidRPr="00C4755C">
        <w:rPr>
          <w:rFonts w:ascii="Times New Roman" w:hAnsi="Times New Roman" w:cs="Times New Roman"/>
          <w:szCs w:val="24"/>
        </w:rPr>
        <w:t>asadą jest ustalenie terminów zapłaty w obrocie gospodarczym nie dłuższ</w:t>
      </w:r>
      <w:r w:rsidRPr="00C4755C">
        <w:rPr>
          <w:rFonts w:ascii="Times New Roman" w:hAnsi="Times New Roman" w:cs="Times New Roman"/>
          <w:szCs w:val="24"/>
        </w:rPr>
        <w:t>ych</w:t>
      </w:r>
      <w:r w:rsidR="00A7752F" w:rsidRPr="00C4755C">
        <w:rPr>
          <w:rFonts w:ascii="Times New Roman" w:hAnsi="Times New Roman" w:cs="Times New Roman"/>
          <w:szCs w:val="24"/>
        </w:rPr>
        <w:t xml:space="preserve"> niż 60 dni</w:t>
      </w:r>
      <w:r w:rsidRPr="00C4755C">
        <w:rPr>
          <w:rFonts w:ascii="Times New Roman" w:hAnsi="Times New Roman" w:cs="Times New Roman"/>
          <w:szCs w:val="24"/>
        </w:rPr>
        <w:t>. Jedynie wyjątkowo można wydłużyć ten termin, o ile nie jest to rażąco nieuczciwe</w:t>
      </w:r>
      <w:r w:rsidR="00F1745F">
        <w:rPr>
          <w:rFonts w:ascii="Times New Roman" w:hAnsi="Times New Roman" w:cs="Times New Roman"/>
          <w:szCs w:val="24"/>
        </w:rPr>
        <w:t xml:space="preserve"> wobec wierzyciela (art. 7 ust. </w:t>
      </w:r>
      <w:r w:rsidRPr="00C4755C">
        <w:rPr>
          <w:rFonts w:ascii="Times New Roman" w:hAnsi="Times New Roman" w:cs="Times New Roman"/>
          <w:szCs w:val="24"/>
        </w:rPr>
        <w:t>2)</w:t>
      </w:r>
      <w:r w:rsidR="00A77DCA" w:rsidRPr="00C4755C">
        <w:rPr>
          <w:rFonts w:ascii="Times New Roman" w:hAnsi="Times New Roman" w:cs="Times New Roman"/>
          <w:szCs w:val="24"/>
        </w:rPr>
        <w:t xml:space="preserve">. </w:t>
      </w:r>
      <w:r w:rsidRPr="00C4755C">
        <w:rPr>
          <w:rFonts w:ascii="Times New Roman" w:hAnsi="Times New Roman" w:cs="Times New Roman"/>
          <w:szCs w:val="24"/>
        </w:rPr>
        <w:t>Jeżeli strony umowy uzgodnią badanie towaru lub usługi po ich otrzymaniu przez odbior</w:t>
      </w:r>
      <w:r w:rsidR="00487A26" w:rsidRPr="00C4755C">
        <w:rPr>
          <w:rFonts w:ascii="Times New Roman" w:hAnsi="Times New Roman" w:cs="Times New Roman"/>
          <w:szCs w:val="24"/>
        </w:rPr>
        <w:t>c</w:t>
      </w:r>
      <w:r w:rsidRPr="00C4755C">
        <w:rPr>
          <w:rFonts w:ascii="Times New Roman" w:hAnsi="Times New Roman" w:cs="Times New Roman"/>
          <w:szCs w:val="24"/>
        </w:rPr>
        <w:t>ę, termin zapłaty może być przesunięty o długość badania</w:t>
      </w:r>
      <w:r w:rsidR="005D4CDB" w:rsidRPr="00C4755C">
        <w:rPr>
          <w:rFonts w:ascii="Times New Roman" w:hAnsi="Times New Roman" w:cs="Times New Roman"/>
          <w:szCs w:val="24"/>
        </w:rPr>
        <w:t>, która jednak</w:t>
      </w:r>
      <w:r w:rsidRPr="00C4755C">
        <w:rPr>
          <w:rFonts w:ascii="Times New Roman" w:hAnsi="Times New Roman" w:cs="Times New Roman"/>
          <w:szCs w:val="24"/>
        </w:rPr>
        <w:t xml:space="preserve"> nie może być rażąco nieuczciw</w:t>
      </w:r>
      <w:r w:rsidR="005D4CDB" w:rsidRPr="00C4755C">
        <w:rPr>
          <w:rFonts w:ascii="Times New Roman" w:hAnsi="Times New Roman" w:cs="Times New Roman"/>
          <w:szCs w:val="24"/>
        </w:rPr>
        <w:t>a</w:t>
      </w:r>
      <w:r w:rsidRPr="00C4755C">
        <w:rPr>
          <w:rFonts w:ascii="Times New Roman" w:hAnsi="Times New Roman" w:cs="Times New Roman"/>
          <w:szCs w:val="24"/>
        </w:rPr>
        <w:t xml:space="preserve"> wobec wierzyciela (art. 9 ust. 1). Podobnie, warunkiem</w:t>
      </w:r>
      <w:r w:rsidR="00241D44" w:rsidRPr="00C4755C">
        <w:rPr>
          <w:rFonts w:ascii="Times New Roman" w:hAnsi="Times New Roman" w:cs="Times New Roman"/>
          <w:szCs w:val="24"/>
        </w:rPr>
        <w:t xml:space="preserve"> legalności </w:t>
      </w:r>
      <w:r w:rsidRPr="00C4755C">
        <w:rPr>
          <w:rFonts w:ascii="Times New Roman" w:hAnsi="Times New Roman" w:cs="Times New Roman"/>
          <w:szCs w:val="24"/>
        </w:rPr>
        <w:lastRenderedPageBreak/>
        <w:t xml:space="preserve">rozłożenia płatności w czasie według harmonogramu jest to, że takie </w:t>
      </w:r>
      <w:r w:rsidR="00241D44" w:rsidRPr="00C4755C">
        <w:rPr>
          <w:rFonts w:ascii="Times New Roman" w:hAnsi="Times New Roman" w:cs="Times New Roman"/>
          <w:szCs w:val="24"/>
        </w:rPr>
        <w:t>rozłożenie zapłaty na części</w:t>
      </w:r>
      <w:r w:rsidRPr="00C4755C">
        <w:rPr>
          <w:rFonts w:ascii="Times New Roman" w:hAnsi="Times New Roman" w:cs="Times New Roman"/>
          <w:szCs w:val="24"/>
        </w:rPr>
        <w:t xml:space="preserve"> nie jest rażąco nieuczciwe wobec wierzyciela (art. </w:t>
      </w:r>
      <w:r w:rsidR="00F1745F">
        <w:rPr>
          <w:rFonts w:ascii="Times New Roman" w:hAnsi="Times New Roman" w:cs="Times New Roman"/>
          <w:szCs w:val="24"/>
        </w:rPr>
        <w:t>11 ust. </w:t>
      </w:r>
      <w:r w:rsidR="000C61F4" w:rsidRPr="00C4755C">
        <w:rPr>
          <w:rFonts w:ascii="Times New Roman" w:hAnsi="Times New Roman" w:cs="Times New Roman"/>
          <w:szCs w:val="24"/>
        </w:rPr>
        <w:t>1).</w:t>
      </w:r>
    </w:p>
    <w:p w14:paraId="23BBAD23" w14:textId="615BFE55" w:rsidR="00051E45" w:rsidRPr="00C4755C" w:rsidRDefault="00241D44"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Z </w:t>
      </w:r>
      <w:r w:rsidR="0070200F" w:rsidRPr="00C4755C">
        <w:rPr>
          <w:rFonts w:ascii="Times New Roman" w:hAnsi="Times New Roman" w:cs="Times New Roman"/>
          <w:szCs w:val="24"/>
        </w:rPr>
        <w:t>przepisów ustawy wynika, że granicą swobod</w:t>
      </w:r>
      <w:r w:rsidR="009B2356" w:rsidRPr="00C4755C">
        <w:rPr>
          <w:rFonts w:ascii="Times New Roman" w:hAnsi="Times New Roman" w:cs="Times New Roman"/>
          <w:szCs w:val="24"/>
        </w:rPr>
        <w:t>y przyznanej stronom umowy, a</w:t>
      </w:r>
      <w:r w:rsidR="00584C51" w:rsidRPr="00C4755C">
        <w:rPr>
          <w:rFonts w:ascii="Times New Roman" w:hAnsi="Times New Roman" w:cs="Times New Roman"/>
          <w:szCs w:val="24"/>
        </w:rPr>
        <w:t xml:space="preserve"> </w:t>
      </w:r>
      <w:r w:rsidR="009B2356" w:rsidRPr="00C4755C">
        <w:rPr>
          <w:rFonts w:ascii="Times New Roman" w:hAnsi="Times New Roman" w:cs="Times New Roman"/>
          <w:szCs w:val="24"/>
        </w:rPr>
        <w:t>w</w:t>
      </w:r>
      <w:r w:rsidR="00584C51" w:rsidRPr="00C4755C">
        <w:rPr>
          <w:rFonts w:ascii="Times New Roman" w:hAnsi="Times New Roman" w:cs="Times New Roman"/>
          <w:szCs w:val="24"/>
        </w:rPr>
        <w:t xml:space="preserve"> </w:t>
      </w:r>
      <w:r w:rsidR="0070200F" w:rsidRPr="00C4755C">
        <w:rPr>
          <w:rFonts w:ascii="Times New Roman" w:hAnsi="Times New Roman" w:cs="Times New Roman"/>
          <w:szCs w:val="24"/>
        </w:rPr>
        <w:t>praktyce silniejszej stronie – dłużnikowi, jest rażąca nieuczciwość wobec wierzyciela. W tym miejscu należy podkreślić, że „rażąca nieuczciwość wobec wierzyciela” jest pojęciem prawnym, zapożyczonym z przepisów dyrektywy</w:t>
      </w:r>
      <w:r w:rsidR="00FE0399" w:rsidRPr="00C4755C">
        <w:rPr>
          <w:rStyle w:val="Odwoanieprzypisudolnego"/>
          <w:rFonts w:ascii="Times New Roman" w:hAnsi="Times New Roman"/>
          <w:szCs w:val="24"/>
        </w:rPr>
        <w:footnoteReference w:id="25"/>
      </w:r>
      <w:r w:rsidR="00312E96" w:rsidRPr="00C4755C">
        <w:rPr>
          <w:rFonts w:ascii="Times New Roman" w:hAnsi="Times New Roman" w:cs="Times New Roman"/>
          <w:szCs w:val="24"/>
          <w:vertAlign w:val="superscript"/>
        </w:rPr>
        <w:t>)</w:t>
      </w:r>
      <w:r w:rsidR="0070200F" w:rsidRPr="00C4755C">
        <w:rPr>
          <w:rFonts w:ascii="Times New Roman" w:hAnsi="Times New Roman" w:cs="Times New Roman"/>
          <w:szCs w:val="24"/>
        </w:rPr>
        <w:t xml:space="preserve">. Zgodnie z </w:t>
      </w:r>
      <w:r w:rsidR="00051E45" w:rsidRPr="00C4755C">
        <w:rPr>
          <w:rFonts w:ascii="Times New Roman" w:hAnsi="Times New Roman" w:cs="Times New Roman"/>
          <w:szCs w:val="24"/>
        </w:rPr>
        <w:t xml:space="preserve">obowiązującym brzmieniem </w:t>
      </w:r>
      <w:r w:rsidR="0070200F" w:rsidRPr="00C4755C">
        <w:rPr>
          <w:rFonts w:ascii="Times New Roman" w:hAnsi="Times New Roman" w:cs="Times New Roman"/>
          <w:szCs w:val="24"/>
        </w:rPr>
        <w:t>art. 11a ustawy, oceny, czy postanowienia umowne są rażąco nieuczciwe wobec wierzyciela, dokonuje się</w:t>
      </w:r>
      <w:r w:rsidR="00416D36">
        <w:rPr>
          <w:rFonts w:ascii="Times New Roman" w:hAnsi="Times New Roman" w:cs="Times New Roman"/>
          <w:szCs w:val="24"/>
        </w:rPr>
        <w:t>,</w:t>
      </w:r>
      <w:r w:rsidR="0070200F" w:rsidRPr="00C4755C">
        <w:rPr>
          <w:rFonts w:ascii="Times New Roman" w:hAnsi="Times New Roman" w:cs="Times New Roman"/>
          <w:szCs w:val="24"/>
        </w:rPr>
        <w:t xml:space="preserve"> biorąc pod uwagę wszystkie okoliczności sprawy. Ten sam przepis podaje przykłady </w:t>
      </w:r>
      <w:r w:rsidR="00051E45" w:rsidRPr="00C4755C">
        <w:rPr>
          <w:rFonts w:ascii="Times New Roman" w:hAnsi="Times New Roman" w:cs="Times New Roman"/>
          <w:szCs w:val="24"/>
        </w:rPr>
        <w:t>kryteriów, jakimi należy kierować się przy tej ocenie:</w:t>
      </w:r>
    </w:p>
    <w:p w14:paraId="71EDD0CF" w14:textId="104C0F94" w:rsidR="00051E45" w:rsidRPr="00C4755C" w:rsidRDefault="00051E45" w:rsidP="008A4755">
      <w:pPr>
        <w:pStyle w:val="ZLITUSTzmustliter"/>
        <w:numPr>
          <w:ilvl w:val="0"/>
          <w:numId w:val="6"/>
        </w:numPr>
        <w:ind w:left="357" w:hanging="357"/>
        <w:rPr>
          <w:rFonts w:ascii="Times New Roman" w:hAnsi="Times New Roman" w:cs="Times New Roman"/>
          <w:szCs w:val="24"/>
        </w:rPr>
      </w:pPr>
      <w:r w:rsidRPr="00C4755C">
        <w:rPr>
          <w:rFonts w:ascii="Times New Roman" w:hAnsi="Times New Roman" w:cs="Times New Roman"/>
          <w:szCs w:val="24"/>
        </w:rPr>
        <w:t>rażące odstępstwa od dobrych praktyk handlowych, któ</w:t>
      </w:r>
      <w:r w:rsidR="00C11661" w:rsidRPr="00C4755C">
        <w:rPr>
          <w:rFonts w:ascii="Times New Roman" w:hAnsi="Times New Roman" w:cs="Times New Roman"/>
          <w:szCs w:val="24"/>
        </w:rPr>
        <w:t>re naruszają zasadę działania w</w:t>
      </w:r>
      <w:r w:rsidR="00C4755C">
        <w:rPr>
          <w:rFonts w:ascii="Times New Roman" w:hAnsi="Times New Roman" w:cs="Times New Roman"/>
          <w:szCs w:val="24"/>
        </w:rPr>
        <w:t xml:space="preserve"> </w:t>
      </w:r>
      <w:r w:rsidRPr="00C4755C">
        <w:rPr>
          <w:rFonts w:ascii="Times New Roman" w:hAnsi="Times New Roman" w:cs="Times New Roman"/>
          <w:szCs w:val="24"/>
        </w:rPr>
        <w:t>dobrej wierze i zasadę rzetelności;</w:t>
      </w:r>
    </w:p>
    <w:p w14:paraId="4B707EC6" w14:textId="77777777" w:rsidR="00ED7BAB" w:rsidRPr="00C4755C" w:rsidRDefault="00051E45" w:rsidP="008A4755">
      <w:pPr>
        <w:pStyle w:val="ZLITUSTzmustliter"/>
        <w:numPr>
          <w:ilvl w:val="0"/>
          <w:numId w:val="6"/>
        </w:numPr>
        <w:ind w:left="357" w:hanging="357"/>
        <w:rPr>
          <w:rFonts w:ascii="Times New Roman" w:hAnsi="Times New Roman" w:cs="Times New Roman"/>
          <w:szCs w:val="24"/>
        </w:rPr>
      </w:pPr>
      <w:r w:rsidRPr="00C4755C">
        <w:rPr>
          <w:rFonts w:ascii="Times New Roman" w:hAnsi="Times New Roman" w:cs="Times New Roman"/>
          <w:szCs w:val="24"/>
        </w:rPr>
        <w:t>właściwość towaru lub usługi, które są przedmiotem transakcji handlowej.</w:t>
      </w:r>
    </w:p>
    <w:p w14:paraId="2C8F4735" w14:textId="3BD12BA6" w:rsidR="00F309B0" w:rsidRPr="00C4755C" w:rsidRDefault="00051E4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Powyższy katalog </w:t>
      </w:r>
      <w:r w:rsidR="00487A26" w:rsidRPr="00C4755C">
        <w:rPr>
          <w:rFonts w:ascii="Times New Roman" w:hAnsi="Times New Roman" w:cs="Times New Roman"/>
          <w:szCs w:val="24"/>
        </w:rPr>
        <w:t xml:space="preserve">jest </w:t>
      </w:r>
      <w:r w:rsidR="00F10394" w:rsidRPr="00C4755C">
        <w:rPr>
          <w:rFonts w:ascii="Times New Roman" w:hAnsi="Times New Roman" w:cs="Times New Roman"/>
          <w:szCs w:val="24"/>
        </w:rPr>
        <w:t>zbyt</w:t>
      </w:r>
      <w:r w:rsidRPr="00C4755C">
        <w:rPr>
          <w:rFonts w:ascii="Times New Roman" w:hAnsi="Times New Roman" w:cs="Times New Roman"/>
          <w:szCs w:val="24"/>
        </w:rPr>
        <w:t xml:space="preserve"> ogólny i </w:t>
      </w:r>
      <w:r w:rsidR="00487A26" w:rsidRPr="00C4755C">
        <w:rPr>
          <w:rFonts w:ascii="Times New Roman" w:hAnsi="Times New Roman" w:cs="Times New Roman"/>
          <w:szCs w:val="24"/>
        </w:rPr>
        <w:t xml:space="preserve">wymaga </w:t>
      </w:r>
      <w:r w:rsidR="00F309B0" w:rsidRPr="00C4755C">
        <w:rPr>
          <w:rFonts w:ascii="Times New Roman" w:hAnsi="Times New Roman" w:cs="Times New Roman"/>
          <w:szCs w:val="24"/>
        </w:rPr>
        <w:t>uzupełn</w:t>
      </w:r>
      <w:r w:rsidR="00487A26" w:rsidRPr="00C4755C">
        <w:rPr>
          <w:rFonts w:ascii="Times New Roman" w:hAnsi="Times New Roman" w:cs="Times New Roman"/>
          <w:szCs w:val="24"/>
        </w:rPr>
        <w:t>ienia</w:t>
      </w:r>
      <w:r w:rsidRPr="00C4755C">
        <w:rPr>
          <w:rFonts w:ascii="Times New Roman" w:hAnsi="Times New Roman" w:cs="Times New Roman"/>
          <w:szCs w:val="24"/>
        </w:rPr>
        <w:t xml:space="preserve"> o wskazanie najbardziej typow</w:t>
      </w:r>
      <w:r w:rsidR="00F50058" w:rsidRPr="00C4755C">
        <w:rPr>
          <w:rFonts w:ascii="Times New Roman" w:hAnsi="Times New Roman" w:cs="Times New Roman"/>
          <w:szCs w:val="24"/>
        </w:rPr>
        <w:t>ych</w:t>
      </w:r>
      <w:r w:rsidRPr="00C4755C">
        <w:rPr>
          <w:rFonts w:ascii="Times New Roman" w:hAnsi="Times New Roman" w:cs="Times New Roman"/>
          <w:szCs w:val="24"/>
        </w:rPr>
        <w:t xml:space="preserve"> okoliczności, w których wydłużenie terminu płatności jest szczególnie niezasadne</w:t>
      </w:r>
      <w:r w:rsidR="00487A26" w:rsidRPr="00C4755C">
        <w:rPr>
          <w:rFonts w:ascii="Times New Roman" w:hAnsi="Times New Roman" w:cs="Times New Roman"/>
          <w:szCs w:val="24"/>
        </w:rPr>
        <w:t>, a więc może być uznane za rażąco nieuczciwe</w:t>
      </w:r>
      <w:r w:rsidRPr="00C4755C">
        <w:rPr>
          <w:rFonts w:ascii="Times New Roman" w:hAnsi="Times New Roman" w:cs="Times New Roman"/>
          <w:szCs w:val="24"/>
        </w:rPr>
        <w:t xml:space="preserve">. </w:t>
      </w:r>
      <w:r w:rsidR="00413691" w:rsidRPr="00C4755C">
        <w:rPr>
          <w:rFonts w:ascii="Times New Roman" w:hAnsi="Times New Roman" w:cs="Times New Roman"/>
          <w:szCs w:val="24"/>
        </w:rPr>
        <w:t>Taką sytuacją jest dokonywanie płatności długo po tym, jak dłużnik sam już otrzymał zapłatę za swoje świadczenia. Przykładowo</w:t>
      </w:r>
      <w:r w:rsidR="0042454B" w:rsidRPr="00C4755C">
        <w:rPr>
          <w:rFonts w:ascii="Times New Roman" w:hAnsi="Times New Roman" w:cs="Times New Roman"/>
          <w:szCs w:val="24"/>
        </w:rPr>
        <w:t>,</w:t>
      </w:r>
      <w:r w:rsidR="00413691" w:rsidRPr="00C4755C">
        <w:rPr>
          <w:rFonts w:ascii="Times New Roman" w:hAnsi="Times New Roman" w:cs="Times New Roman"/>
          <w:szCs w:val="24"/>
        </w:rPr>
        <w:t xml:space="preserve"> </w:t>
      </w:r>
      <w:r w:rsidR="00B06881" w:rsidRPr="00C4755C">
        <w:rPr>
          <w:rFonts w:ascii="Times New Roman" w:hAnsi="Times New Roman" w:cs="Times New Roman"/>
          <w:szCs w:val="24"/>
        </w:rPr>
        <w:t xml:space="preserve">gdy </w:t>
      </w:r>
      <w:r w:rsidR="00413691" w:rsidRPr="00C4755C">
        <w:rPr>
          <w:rFonts w:ascii="Times New Roman" w:hAnsi="Times New Roman" w:cs="Times New Roman"/>
          <w:szCs w:val="24"/>
        </w:rPr>
        <w:t>dłużnik naby</w:t>
      </w:r>
      <w:r w:rsidR="00B06881" w:rsidRPr="00C4755C">
        <w:rPr>
          <w:rFonts w:ascii="Times New Roman" w:hAnsi="Times New Roman" w:cs="Times New Roman"/>
          <w:szCs w:val="24"/>
        </w:rPr>
        <w:t>ł</w:t>
      </w:r>
      <w:r w:rsidR="00413691" w:rsidRPr="00C4755C">
        <w:rPr>
          <w:rFonts w:ascii="Times New Roman" w:hAnsi="Times New Roman" w:cs="Times New Roman"/>
          <w:szCs w:val="24"/>
        </w:rPr>
        <w:t xml:space="preserve"> </w:t>
      </w:r>
      <w:r w:rsidR="00B06881" w:rsidRPr="00C4755C">
        <w:rPr>
          <w:rFonts w:ascii="Times New Roman" w:hAnsi="Times New Roman" w:cs="Times New Roman"/>
          <w:szCs w:val="24"/>
        </w:rPr>
        <w:t>od wierzyciela</w:t>
      </w:r>
      <w:r w:rsidR="00F309B0" w:rsidRPr="00C4755C">
        <w:rPr>
          <w:rFonts w:ascii="Times New Roman" w:hAnsi="Times New Roman" w:cs="Times New Roman"/>
          <w:szCs w:val="24"/>
        </w:rPr>
        <w:t xml:space="preserve"> </w:t>
      </w:r>
      <w:r w:rsidR="000D027D" w:rsidRPr="00C4755C">
        <w:rPr>
          <w:rFonts w:ascii="Times New Roman" w:hAnsi="Times New Roman" w:cs="Times New Roman"/>
          <w:szCs w:val="24"/>
        </w:rPr>
        <w:t>–</w:t>
      </w:r>
      <w:r w:rsidR="00F309B0" w:rsidRPr="00C4755C">
        <w:rPr>
          <w:rFonts w:ascii="Times New Roman" w:hAnsi="Times New Roman" w:cs="Times New Roman"/>
          <w:szCs w:val="24"/>
        </w:rPr>
        <w:t xml:space="preserve"> </w:t>
      </w:r>
      <w:r w:rsidR="00B06881" w:rsidRPr="00C4755C">
        <w:rPr>
          <w:rFonts w:ascii="Times New Roman" w:hAnsi="Times New Roman" w:cs="Times New Roman"/>
          <w:szCs w:val="24"/>
        </w:rPr>
        <w:t xml:space="preserve">poddostawcy </w:t>
      </w:r>
      <w:r w:rsidR="00413691" w:rsidRPr="00C4755C">
        <w:rPr>
          <w:rFonts w:ascii="Times New Roman" w:hAnsi="Times New Roman" w:cs="Times New Roman"/>
          <w:szCs w:val="24"/>
        </w:rPr>
        <w:t xml:space="preserve">części </w:t>
      </w:r>
      <w:r w:rsidR="002173D9" w:rsidRPr="00C4755C">
        <w:rPr>
          <w:rFonts w:ascii="Times New Roman" w:hAnsi="Times New Roman" w:cs="Times New Roman"/>
          <w:szCs w:val="24"/>
        </w:rPr>
        <w:t xml:space="preserve">(np. komponenty urządzeń) </w:t>
      </w:r>
      <w:r w:rsidR="00413691" w:rsidRPr="00C4755C">
        <w:rPr>
          <w:rFonts w:ascii="Times New Roman" w:hAnsi="Times New Roman" w:cs="Times New Roman"/>
          <w:szCs w:val="24"/>
        </w:rPr>
        <w:t>wykorzyst</w:t>
      </w:r>
      <w:r w:rsidR="002173D9" w:rsidRPr="00C4755C">
        <w:rPr>
          <w:rFonts w:ascii="Times New Roman" w:hAnsi="Times New Roman" w:cs="Times New Roman"/>
          <w:szCs w:val="24"/>
        </w:rPr>
        <w:t>a</w:t>
      </w:r>
      <w:r w:rsidR="00413691" w:rsidRPr="00C4755C">
        <w:rPr>
          <w:rFonts w:ascii="Times New Roman" w:hAnsi="Times New Roman" w:cs="Times New Roman"/>
          <w:szCs w:val="24"/>
        </w:rPr>
        <w:t>ne do realizacji</w:t>
      </w:r>
      <w:r w:rsidR="00B06881" w:rsidRPr="00C4755C">
        <w:rPr>
          <w:rFonts w:ascii="Times New Roman" w:hAnsi="Times New Roman" w:cs="Times New Roman"/>
          <w:szCs w:val="24"/>
        </w:rPr>
        <w:t xml:space="preserve"> swojego</w:t>
      </w:r>
      <w:r w:rsidR="00413691" w:rsidRPr="00C4755C">
        <w:rPr>
          <w:rFonts w:ascii="Times New Roman" w:hAnsi="Times New Roman" w:cs="Times New Roman"/>
          <w:szCs w:val="24"/>
        </w:rPr>
        <w:t xml:space="preserve"> zamówienia, za wykonanie którego sam już otrzymał zapłatę, ale mimo to zwleka z zapłatą </w:t>
      </w:r>
      <w:r w:rsidR="00B06881" w:rsidRPr="00C4755C">
        <w:rPr>
          <w:rFonts w:ascii="Times New Roman" w:hAnsi="Times New Roman" w:cs="Times New Roman"/>
          <w:szCs w:val="24"/>
        </w:rPr>
        <w:t>wierzycielowi</w:t>
      </w:r>
      <w:r w:rsidR="00487A26" w:rsidRPr="00C4755C">
        <w:rPr>
          <w:rFonts w:ascii="Times New Roman" w:hAnsi="Times New Roman" w:cs="Times New Roman"/>
          <w:szCs w:val="24"/>
        </w:rPr>
        <w:t xml:space="preserve"> </w:t>
      </w:r>
      <w:r w:rsidR="000D027D" w:rsidRPr="00C4755C">
        <w:rPr>
          <w:rFonts w:ascii="Times New Roman" w:hAnsi="Times New Roman" w:cs="Times New Roman"/>
          <w:szCs w:val="24"/>
        </w:rPr>
        <w:t>–</w:t>
      </w:r>
      <w:r w:rsidR="00487A26" w:rsidRPr="00C4755C">
        <w:rPr>
          <w:rFonts w:ascii="Times New Roman" w:hAnsi="Times New Roman" w:cs="Times New Roman"/>
          <w:szCs w:val="24"/>
        </w:rPr>
        <w:t xml:space="preserve"> </w:t>
      </w:r>
      <w:r w:rsidR="00413691" w:rsidRPr="00C4755C">
        <w:rPr>
          <w:rFonts w:ascii="Times New Roman" w:hAnsi="Times New Roman" w:cs="Times New Roman"/>
          <w:szCs w:val="24"/>
        </w:rPr>
        <w:t>poddostawc</w:t>
      </w:r>
      <w:r w:rsidR="00B06881" w:rsidRPr="00C4755C">
        <w:rPr>
          <w:rFonts w:ascii="Times New Roman" w:hAnsi="Times New Roman" w:cs="Times New Roman"/>
          <w:szCs w:val="24"/>
        </w:rPr>
        <w:t>y</w:t>
      </w:r>
      <w:r w:rsidR="000C61F4" w:rsidRPr="00C4755C">
        <w:rPr>
          <w:rFonts w:ascii="Times New Roman" w:hAnsi="Times New Roman" w:cs="Times New Roman"/>
          <w:szCs w:val="24"/>
        </w:rPr>
        <w:t>.</w:t>
      </w:r>
    </w:p>
    <w:p w14:paraId="35BC4939" w14:textId="03E0E259" w:rsidR="00ED7BAB" w:rsidRPr="00C4755C" w:rsidRDefault="00051E4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 związku z tym proponuje się, aby </w:t>
      </w:r>
      <w:r w:rsidR="00413691" w:rsidRPr="00C4755C">
        <w:rPr>
          <w:rFonts w:ascii="Times New Roman" w:hAnsi="Times New Roman" w:cs="Times New Roman"/>
          <w:szCs w:val="24"/>
        </w:rPr>
        <w:t>treść</w:t>
      </w:r>
      <w:r w:rsidRPr="00C4755C">
        <w:rPr>
          <w:rFonts w:ascii="Times New Roman" w:hAnsi="Times New Roman" w:cs="Times New Roman"/>
          <w:szCs w:val="24"/>
        </w:rPr>
        <w:t xml:space="preserve"> obecnego art. 11a uzupełnić – już jako a</w:t>
      </w:r>
      <w:r w:rsidR="00F1745F">
        <w:rPr>
          <w:rFonts w:ascii="Times New Roman" w:hAnsi="Times New Roman" w:cs="Times New Roman"/>
          <w:szCs w:val="24"/>
        </w:rPr>
        <w:t>rt. </w:t>
      </w:r>
      <w:r w:rsidR="000C61F4" w:rsidRPr="00C4755C">
        <w:rPr>
          <w:rFonts w:ascii="Times New Roman" w:hAnsi="Times New Roman" w:cs="Times New Roman"/>
          <w:szCs w:val="24"/>
        </w:rPr>
        <w:t>11a ust. 1 – o dwie zmiany.</w:t>
      </w:r>
    </w:p>
    <w:p w14:paraId="1351DAA3" w14:textId="46AADA6A" w:rsidR="00051E45" w:rsidRPr="00C4755C" w:rsidRDefault="00051E45" w:rsidP="00C4755C">
      <w:pPr>
        <w:pStyle w:val="ZLITUSTzmustliter"/>
        <w:spacing w:before="120"/>
        <w:ind w:left="0" w:firstLine="0"/>
        <w:rPr>
          <w:rFonts w:ascii="Times New Roman" w:hAnsi="Times New Roman" w:cs="Times New Roman"/>
          <w:i/>
          <w:szCs w:val="24"/>
        </w:rPr>
      </w:pPr>
      <w:r w:rsidRPr="00C4755C">
        <w:rPr>
          <w:rFonts w:ascii="Times New Roman" w:hAnsi="Times New Roman" w:cs="Times New Roman"/>
          <w:szCs w:val="24"/>
        </w:rPr>
        <w:t>Po pierwsze, przesłankę „właściwoś</w:t>
      </w:r>
      <w:r w:rsidR="00B06881" w:rsidRPr="00C4755C">
        <w:rPr>
          <w:rFonts w:ascii="Times New Roman" w:hAnsi="Times New Roman" w:cs="Times New Roman"/>
          <w:szCs w:val="24"/>
        </w:rPr>
        <w:t>ci</w:t>
      </w:r>
      <w:r w:rsidRPr="00C4755C">
        <w:rPr>
          <w:rFonts w:ascii="Times New Roman" w:hAnsi="Times New Roman" w:cs="Times New Roman"/>
          <w:szCs w:val="24"/>
        </w:rPr>
        <w:t xml:space="preserve"> towaru lub usługi, które są przedmiotem transakcji handlowej” proponuje się </w:t>
      </w:r>
      <w:r w:rsidR="00413691" w:rsidRPr="00C4755C">
        <w:rPr>
          <w:rFonts w:ascii="Times New Roman" w:hAnsi="Times New Roman" w:cs="Times New Roman"/>
          <w:szCs w:val="24"/>
        </w:rPr>
        <w:t>uzupełnić</w:t>
      </w:r>
      <w:r w:rsidRPr="00C4755C">
        <w:rPr>
          <w:rFonts w:ascii="Times New Roman" w:hAnsi="Times New Roman" w:cs="Times New Roman"/>
          <w:szCs w:val="24"/>
        </w:rPr>
        <w:t xml:space="preserve"> o </w:t>
      </w:r>
      <w:r w:rsidR="00413691" w:rsidRPr="00C4755C">
        <w:rPr>
          <w:rFonts w:ascii="Times New Roman" w:hAnsi="Times New Roman" w:cs="Times New Roman"/>
          <w:szCs w:val="24"/>
        </w:rPr>
        <w:t>doprecyzowanie, że chodzi tutaj „</w:t>
      </w:r>
      <w:r w:rsidR="00FE0399" w:rsidRPr="00C4755C">
        <w:rPr>
          <w:rFonts w:ascii="Times New Roman" w:hAnsi="Times New Roman" w:cs="Times New Roman"/>
          <w:i/>
          <w:szCs w:val="24"/>
        </w:rPr>
        <w:t xml:space="preserve">w </w:t>
      </w:r>
      <w:r w:rsidR="00413691" w:rsidRPr="00C4755C">
        <w:rPr>
          <w:rFonts w:ascii="Times New Roman" w:hAnsi="Times New Roman" w:cs="Times New Roman"/>
          <w:i/>
          <w:szCs w:val="24"/>
        </w:rPr>
        <w:t xml:space="preserve">szczególności </w:t>
      </w:r>
      <w:r w:rsidR="006E11A0" w:rsidRPr="00C4755C">
        <w:rPr>
          <w:rFonts w:ascii="Times New Roman" w:hAnsi="Times New Roman" w:cs="Times New Roman"/>
          <w:i/>
          <w:szCs w:val="24"/>
        </w:rPr>
        <w:t>o</w:t>
      </w:r>
      <w:r w:rsidR="00C4755C">
        <w:rPr>
          <w:rFonts w:ascii="Times New Roman" w:hAnsi="Times New Roman" w:cs="Times New Roman"/>
          <w:i/>
          <w:szCs w:val="24"/>
        </w:rPr>
        <w:t xml:space="preserve"> </w:t>
      </w:r>
      <w:r w:rsidR="00413691" w:rsidRPr="00C4755C">
        <w:rPr>
          <w:rFonts w:ascii="Times New Roman" w:hAnsi="Times New Roman" w:cs="Times New Roman"/>
          <w:i/>
          <w:szCs w:val="24"/>
        </w:rPr>
        <w:t>czas zwykle potrzebny na zbycie towaru przez dłużnika na rzecz osób trzecich</w:t>
      </w:r>
      <w:r w:rsidR="00413691" w:rsidRPr="008A4755">
        <w:rPr>
          <w:rFonts w:ascii="Times New Roman" w:hAnsi="Times New Roman" w:cs="Times New Roman"/>
          <w:szCs w:val="24"/>
        </w:rPr>
        <w:t>”.</w:t>
      </w:r>
    </w:p>
    <w:p w14:paraId="463D6B44" w14:textId="0C8FFD7D" w:rsidR="00413691" w:rsidRPr="00C4755C" w:rsidRDefault="00413691"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Po drugie, dodać nową przesłankę odnoszącą się bezpośrednio do umów, w których zap</w:t>
      </w:r>
      <w:r w:rsidR="00B06881" w:rsidRPr="00C4755C">
        <w:rPr>
          <w:rFonts w:ascii="Times New Roman" w:hAnsi="Times New Roman" w:cs="Times New Roman"/>
          <w:szCs w:val="24"/>
        </w:rPr>
        <w:t>ł</w:t>
      </w:r>
      <w:r w:rsidRPr="00C4755C">
        <w:rPr>
          <w:rFonts w:ascii="Times New Roman" w:hAnsi="Times New Roman" w:cs="Times New Roman"/>
          <w:szCs w:val="24"/>
        </w:rPr>
        <w:t>ata została rozłożona w czasie</w:t>
      </w:r>
      <w:r w:rsidR="00B06881" w:rsidRPr="00C4755C">
        <w:rPr>
          <w:rFonts w:ascii="Times New Roman" w:hAnsi="Times New Roman" w:cs="Times New Roman"/>
          <w:szCs w:val="24"/>
        </w:rPr>
        <w:t>, czyli następuje według harmonogramu. Proponuje się dodanie przepisu wskazującego, że należy brać pod uwagę</w:t>
      </w:r>
      <w:r w:rsidRPr="00C4755C">
        <w:rPr>
          <w:rFonts w:ascii="Times New Roman" w:hAnsi="Times New Roman" w:cs="Times New Roman"/>
          <w:szCs w:val="24"/>
        </w:rPr>
        <w:t xml:space="preserve"> „</w:t>
      </w:r>
      <w:r w:rsidRPr="00C4755C">
        <w:rPr>
          <w:rFonts w:ascii="Times New Roman" w:hAnsi="Times New Roman" w:cs="Times New Roman"/>
          <w:i/>
          <w:szCs w:val="24"/>
        </w:rPr>
        <w:t>dostosowanie harmonogramu dostawy towarów lub wykonania usługi w częściach do harmonogramu spełniania odpowiadających im części świadczenia pieniężnego</w:t>
      </w:r>
      <w:r w:rsidRPr="00367815">
        <w:rPr>
          <w:rFonts w:ascii="Times New Roman" w:hAnsi="Times New Roman" w:cs="Times New Roman"/>
          <w:szCs w:val="24"/>
        </w:rPr>
        <w:t>”.</w:t>
      </w:r>
    </w:p>
    <w:p w14:paraId="3D48F78E" w14:textId="77833AB7" w:rsidR="00F07950" w:rsidRPr="00C4755C" w:rsidRDefault="00F07950"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Powyższe uszczegółowieni</w:t>
      </w:r>
      <w:r w:rsidR="00B06881" w:rsidRPr="00C4755C">
        <w:rPr>
          <w:rFonts w:ascii="Times New Roman" w:hAnsi="Times New Roman" w:cs="Times New Roman"/>
          <w:szCs w:val="24"/>
        </w:rPr>
        <w:t>e i uzupełnienie</w:t>
      </w:r>
      <w:r w:rsidRPr="00C4755C">
        <w:rPr>
          <w:rFonts w:ascii="Times New Roman" w:hAnsi="Times New Roman" w:cs="Times New Roman"/>
          <w:szCs w:val="24"/>
        </w:rPr>
        <w:t xml:space="preserve"> będ</w:t>
      </w:r>
      <w:r w:rsidR="00B06881" w:rsidRPr="00C4755C">
        <w:rPr>
          <w:rFonts w:ascii="Times New Roman" w:hAnsi="Times New Roman" w:cs="Times New Roman"/>
          <w:szCs w:val="24"/>
        </w:rPr>
        <w:t>ą</w:t>
      </w:r>
      <w:r w:rsidRPr="00C4755C">
        <w:rPr>
          <w:rFonts w:ascii="Times New Roman" w:hAnsi="Times New Roman" w:cs="Times New Roman"/>
          <w:szCs w:val="24"/>
        </w:rPr>
        <w:t xml:space="preserve"> stanowić wyraźn</w:t>
      </w:r>
      <w:r w:rsidR="00B06881" w:rsidRPr="00C4755C">
        <w:rPr>
          <w:rFonts w:ascii="Times New Roman" w:hAnsi="Times New Roman" w:cs="Times New Roman"/>
          <w:szCs w:val="24"/>
        </w:rPr>
        <w:t>e</w:t>
      </w:r>
      <w:r w:rsidRPr="00C4755C">
        <w:rPr>
          <w:rFonts w:ascii="Times New Roman" w:hAnsi="Times New Roman" w:cs="Times New Roman"/>
          <w:szCs w:val="24"/>
        </w:rPr>
        <w:t xml:space="preserve"> wskazówk</w:t>
      </w:r>
      <w:r w:rsidR="00B06881" w:rsidRPr="00C4755C">
        <w:rPr>
          <w:rFonts w:ascii="Times New Roman" w:hAnsi="Times New Roman" w:cs="Times New Roman"/>
          <w:szCs w:val="24"/>
        </w:rPr>
        <w:t>i</w:t>
      </w:r>
      <w:r w:rsidRPr="00C4755C">
        <w:rPr>
          <w:rFonts w:ascii="Times New Roman" w:hAnsi="Times New Roman" w:cs="Times New Roman"/>
          <w:szCs w:val="24"/>
        </w:rPr>
        <w:t xml:space="preserve"> interpretacyjn</w:t>
      </w:r>
      <w:r w:rsidR="00B06881" w:rsidRPr="00C4755C">
        <w:rPr>
          <w:rFonts w:ascii="Times New Roman" w:hAnsi="Times New Roman" w:cs="Times New Roman"/>
          <w:szCs w:val="24"/>
        </w:rPr>
        <w:t>e</w:t>
      </w:r>
      <w:r w:rsidRPr="00C4755C">
        <w:rPr>
          <w:rFonts w:ascii="Times New Roman" w:hAnsi="Times New Roman" w:cs="Times New Roman"/>
          <w:szCs w:val="24"/>
        </w:rPr>
        <w:t xml:space="preserve"> klauzuli generalnej „rażącej nieuczciwości wobec wierzyciela”</w:t>
      </w:r>
      <w:r w:rsidR="009B2356" w:rsidRPr="00C4755C">
        <w:rPr>
          <w:rFonts w:ascii="Times New Roman" w:hAnsi="Times New Roman" w:cs="Times New Roman"/>
          <w:szCs w:val="24"/>
        </w:rPr>
        <w:t>, i</w:t>
      </w:r>
      <w:r w:rsidR="00C4755C">
        <w:rPr>
          <w:rFonts w:ascii="Times New Roman" w:hAnsi="Times New Roman" w:cs="Times New Roman"/>
          <w:szCs w:val="24"/>
        </w:rPr>
        <w:t xml:space="preserve"> </w:t>
      </w:r>
      <w:r w:rsidR="009B2356" w:rsidRPr="00C4755C">
        <w:rPr>
          <w:rFonts w:ascii="Times New Roman" w:hAnsi="Times New Roman" w:cs="Times New Roman"/>
          <w:szCs w:val="24"/>
        </w:rPr>
        <w:t>z</w:t>
      </w:r>
      <w:r w:rsidR="00C4755C">
        <w:rPr>
          <w:rFonts w:ascii="Times New Roman" w:hAnsi="Times New Roman" w:cs="Times New Roman"/>
          <w:szCs w:val="24"/>
        </w:rPr>
        <w:t xml:space="preserve"> </w:t>
      </w:r>
      <w:r w:rsidR="00B06881" w:rsidRPr="00C4755C">
        <w:rPr>
          <w:rFonts w:ascii="Times New Roman" w:hAnsi="Times New Roman" w:cs="Times New Roman"/>
          <w:szCs w:val="24"/>
        </w:rPr>
        <w:t xml:space="preserve">pewnością ułatwią ich </w:t>
      </w:r>
      <w:r w:rsidR="00487A26" w:rsidRPr="00C4755C">
        <w:rPr>
          <w:rFonts w:ascii="Times New Roman" w:hAnsi="Times New Roman" w:cs="Times New Roman"/>
          <w:szCs w:val="24"/>
        </w:rPr>
        <w:t xml:space="preserve">praktyczne </w:t>
      </w:r>
      <w:r w:rsidR="00B06881" w:rsidRPr="00C4755C">
        <w:rPr>
          <w:rFonts w:ascii="Times New Roman" w:hAnsi="Times New Roman" w:cs="Times New Roman"/>
          <w:szCs w:val="24"/>
        </w:rPr>
        <w:t>stosowanie</w:t>
      </w:r>
      <w:r w:rsidRPr="00C4755C">
        <w:rPr>
          <w:rFonts w:ascii="Times New Roman" w:hAnsi="Times New Roman" w:cs="Times New Roman"/>
          <w:szCs w:val="24"/>
        </w:rPr>
        <w:t>.</w:t>
      </w:r>
    </w:p>
    <w:p w14:paraId="334DD2FC" w14:textId="06B9D8AA" w:rsidR="00E7313C" w:rsidRPr="00C4755C" w:rsidRDefault="00B159F7" w:rsidP="00C4755C">
      <w:pPr>
        <w:spacing w:before="120"/>
        <w:jc w:val="both"/>
        <w:rPr>
          <w:rFonts w:cs="Times New Roman"/>
          <w:b/>
          <w:i/>
          <w:szCs w:val="24"/>
        </w:rPr>
      </w:pPr>
      <w:r w:rsidRPr="00C4755C">
        <w:rPr>
          <w:rFonts w:cs="Times New Roman"/>
          <w:b/>
          <w:i/>
          <w:szCs w:val="24"/>
        </w:rPr>
        <w:t>9</w:t>
      </w:r>
      <w:r w:rsidR="00DA25C2" w:rsidRPr="00C4755C">
        <w:rPr>
          <w:rFonts w:cs="Times New Roman"/>
          <w:b/>
          <w:i/>
          <w:szCs w:val="24"/>
        </w:rPr>
        <w:t xml:space="preserve">) </w:t>
      </w:r>
      <w:r w:rsidR="00E7313C" w:rsidRPr="00C4755C">
        <w:rPr>
          <w:rFonts w:cs="Times New Roman"/>
          <w:b/>
          <w:i/>
          <w:szCs w:val="24"/>
        </w:rPr>
        <w:t>Szczególne uprawnienia wierzyciela w transakcji, w której ustalono nadmie</w:t>
      </w:r>
      <w:r w:rsidR="00C06CF0" w:rsidRPr="00C4755C">
        <w:rPr>
          <w:rFonts w:cs="Times New Roman"/>
          <w:b/>
          <w:i/>
          <w:szCs w:val="24"/>
        </w:rPr>
        <w:t>rnie wydłużony termin płatności (</w:t>
      </w:r>
      <w:r w:rsidR="00E55ABA" w:rsidRPr="00C4755C">
        <w:rPr>
          <w:rFonts w:cs="Times New Roman"/>
          <w:b/>
          <w:i/>
          <w:szCs w:val="24"/>
        </w:rPr>
        <w:t>art. 7 ust. 3a</w:t>
      </w:r>
      <w:r w:rsidR="00416D36">
        <w:rPr>
          <w:rFonts w:cs="Times New Roman"/>
          <w:b/>
          <w:i/>
          <w:szCs w:val="24"/>
        </w:rPr>
        <w:t xml:space="preserve"> i </w:t>
      </w:r>
      <w:r w:rsidR="00E61F95" w:rsidRPr="00C4755C">
        <w:rPr>
          <w:rFonts w:cs="Times New Roman"/>
          <w:b/>
          <w:i/>
          <w:szCs w:val="24"/>
        </w:rPr>
        <w:t>3b</w:t>
      </w:r>
      <w:r w:rsidR="00E55ABA" w:rsidRPr="00C4755C">
        <w:rPr>
          <w:rFonts w:cs="Times New Roman"/>
          <w:b/>
          <w:i/>
          <w:szCs w:val="24"/>
        </w:rPr>
        <w:t xml:space="preserve">, </w:t>
      </w:r>
      <w:r w:rsidR="00C06CF0" w:rsidRPr="00C4755C">
        <w:rPr>
          <w:rFonts w:cs="Times New Roman"/>
          <w:b/>
          <w:i/>
          <w:szCs w:val="24"/>
        </w:rPr>
        <w:t>art. 11a ust. 2</w:t>
      </w:r>
      <w:r w:rsidR="00C4755C">
        <w:rPr>
          <w:rFonts w:cs="Times New Roman"/>
          <w:b/>
          <w:i/>
          <w:szCs w:val="24"/>
        </w:rPr>
        <w:t>–</w:t>
      </w:r>
      <w:r w:rsidR="00CF6012" w:rsidRPr="00C4755C">
        <w:rPr>
          <w:rFonts w:cs="Times New Roman"/>
          <w:b/>
          <w:i/>
          <w:szCs w:val="24"/>
        </w:rPr>
        <w:t>4</w:t>
      </w:r>
      <w:r w:rsidR="00C06CF0" w:rsidRPr="00C4755C">
        <w:rPr>
          <w:rFonts w:cs="Times New Roman"/>
          <w:b/>
          <w:i/>
          <w:szCs w:val="24"/>
        </w:rPr>
        <w:t>)</w:t>
      </w:r>
    </w:p>
    <w:p w14:paraId="4BA3E390" w14:textId="6960B91B" w:rsidR="008E3548" w:rsidRPr="00C4755C" w:rsidRDefault="008E3548"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Stwierdzenie</w:t>
      </w:r>
      <w:r w:rsidR="0092631A" w:rsidRPr="00C4755C">
        <w:rPr>
          <w:rFonts w:ascii="Times New Roman" w:hAnsi="Times New Roman" w:cs="Times New Roman"/>
        </w:rPr>
        <w:t>, że</w:t>
      </w:r>
      <w:r w:rsidR="00852658" w:rsidRPr="00C4755C">
        <w:rPr>
          <w:rFonts w:ascii="Times New Roman" w:hAnsi="Times New Roman" w:cs="Times New Roman"/>
        </w:rPr>
        <w:t xml:space="preserve"> </w:t>
      </w:r>
      <w:r w:rsidR="0092631A" w:rsidRPr="00C4755C">
        <w:rPr>
          <w:rFonts w:ascii="Times New Roman" w:hAnsi="Times New Roman" w:cs="Times New Roman"/>
        </w:rPr>
        <w:t xml:space="preserve">postanowienie umowy dotyczące terminu zapłaty jest </w:t>
      </w:r>
      <w:r w:rsidRPr="00C4755C">
        <w:rPr>
          <w:rFonts w:ascii="Times New Roman" w:hAnsi="Times New Roman" w:cs="Times New Roman"/>
        </w:rPr>
        <w:t>„rażąco nieuczciwe wobec wierzyciela”</w:t>
      </w:r>
      <w:r w:rsidR="0092631A" w:rsidRPr="00C4755C">
        <w:rPr>
          <w:rFonts w:ascii="Times New Roman" w:hAnsi="Times New Roman" w:cs="Times New Roman"/>
        </w:rPr>
        <w:t xml:space="preserve"> przesądza</w:t>
      </w:r>
      <w:r w:rsidRPr="00C4755C">
        <w:rPr>
          <w:rFonts w:ascii="Times New Roman" w:hAnsi="Times New Roman" w:cs="Times New Roman"/>
        </w:rPr>
        <w:t xml:space="preserve">, czy termin </w:t>
      </w:r>
      <w:r w:rsidR="009B2356" w:rsidRPr="00C4755C">
        <w:rPr>
          <w:rFonts w:ascii="Times New Roman" w:hAnsi="Times New Roman" w:cs="Times New Roman"/>
        </w:rPr>
        <w:t>zapłaty jest zgodny z prawem. W</w:t>
      </w:r>
      <w:r w:rsidR="00584C51" w:rsidRPr="00C4755C">
        <w:rPr>
          <w:rFonts w:ascii="Times New Roman" w:hAnsi="Times New Roman" w:cs="Times New Roman"/>
        </w:rPr>
        <w:t xml:space="preserve"> </w:t>
      </w:r>
      <w:r w:rsidRPr="00C4755C">
        <w:rPr>
          <w:rFonts w:ascii="Times New Roman" w:hAnsi="Times New Roman" w:cs="Times New Roman"/>
        </w:rPr>
        <w:t xml:space="preserve">praktyce należy liczyć się z tym, że do takiego stwierdzenia dochodzi w postępowaniu przed sądem. </w:t>
      </w:r>
      <w:r w:rsidR="00A9001C" w:rsidRPr="00C4755C">
        <w:rPr>
          <w:rFonts w:ascii="Times New Roman" w:hAnsi="Times New Roman" w:cs="Times New Roman"/>
        </w:rPr>
        <w:t xml:space="preserve">Ze skierowaniem sprawy na drogę sądową </w:t>
      </w:r>
      <w:r w:rsidRPr="00C4755C">
        <w:rPr>
          <w:rFonts w:ascii="Times New Roman" w:hAnsi="Times New Roman" w:cs="Times New Roman"/>
        </w:rPr>
        <w:t>wią</w:t>
      </w:r>
      <w:r w:rsidR="00A9001C" w:rsidRPr="00C4755C">
        <w:rPr>
          <w:rFonts w:ascii="Times New Roman" w:hAnsi="Times New Roman" w:cs="Times New Roman"/>
        </w:rPr>
        <w:t>że</w:t>
      </w:r>
      <w:r w:rsidRPr="00C4755C">
        <w:rPr>
          <w:rFonts w:ascii="Times New Roman" w:hAnsi="Times New Roman" w:cs="Times New Roman"/>
        </w:rPr>
        <w:t xml:space="preserve"> się szereg kwestii, które sprawiają, że ochrona wierzyciela przed nadużyciami</w:t>
      </w:r>
      <w:r w:rsidR="00A9001C" w:rsidRPr="00C4755C">
        <w:rPr>
          <w:rFonts w:ascii="Times New Roman" w:hAnsi="Times New Roman" w:cs="Times New Roman"/>
        </w:rPr>
        <w:t xml:space="preserve"> ze strony</w:t>
      </w:r>
      <w:r w:rsidRPr="00C4755C">
        <w:rPr>
          <w:rFonts w:ascii="Times New Roman" w:hAnsi="Times New Roman" w:cs="Times New Roman"/>
        </w:rPr>
        <w:t xml:space="preserve"> dłużnika </w:t>
      </w:r>
      <w:r w:rsidR="00A9001C" w:rsidRPr="00C4755C">
        <w:rPr>
          <w:rFonts w:ascii="Times New Roman" w:hAnsi="Times New Roman" w:cs="Times New Roman"/>
        </w:rPr>
        <w:t>może być</w:t>
      </w:r>
      <w:r w:rsidR="00852658" w:rsidRPr="00C4755C">
        <w:rPr>
          <w:rFonts w:ascii="Times New Roman" w:hAnsi="Times New Roman" w:cs="Times New Roman"/>
        </w:rPr>
        <w:t xml:space="preserve"> </w:t>
      </w:r>
      <w:r w:rsidRPr="00C4755C">
        <w:rPr>
          <w:rFonts w:ascii="Times New Roman" w:hAnsi="Times New Roman" w:cs="Times New Roman"/>
        </w:rPr>
        <w:t>utrudniona, a nawet iluzoryczna. Dlatego należy wprowadzić rozwiązania, które z jednej strony oddadzą w ręce wierzycieli silne instrumenty ochrony ich praw, a z drugiej strony obciążą dłużników ryzykiem dolegliwych następstw nadużywania swojej pozycji ekonomicznej.</w:t>
      </w:r>
    </w:p>
    <w:p w14:paraId="695DF93B" w14:textId="7C3D55C0" w:rsidR="007E50F1" w:rsidRPr="00C4755C" w:rsidRDefault="007E50F1"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Ponieważ ustawa o terminach zapłaty w transakcjach handlowych należy do </w:t>
      </w:r>
      <w:r w:rsidR="00ED2532" w:rsidRPr="00C4755C">
        <w:rPr>
          <w:rFonts w:ascii="Times New Roman" w:hAnsi="Times New Roman" w:cs="Times New Roman"/>
        </w:rPr>
        <w:t xml:space="preserve">sfery </w:t>
      </w:r>
      <w:r w:rsidRPr="00C4755C">
        <w:rPr>
          <w:rFonts w:ascii="Times New Roman" w:hAnsi="Times New Roman" w:cs="Times New Roman"/>
        </w:rPr>
        <w:t>prawa cywilnego, wzmocnienie pozycji wierzycieli w relacji do dłużników także musi nastąpić przez przyjęcie rozwiązań z tego obszaru prawa. W związku z</w:t>
      </w:r>
      <w:r w:rsidR="00852658" w:rsidRPr="00C4755C">
        <w:rPr>
          <w:rFonts w:ascii="Times New Roman" w:hAnsi="Times New Roman" w:cs="Times New Roman"/>
        </w:rPr>
        <w:t xml:space="preserve"> </w:t>
      </w:r>
      <w:r w:rsidRPr="00C4755C">
        <w:rPr>
          <w:rFonts w:ascii="Times New Roman" w:hAnsi="Times New Roman" w:cs="Times New Roman"/>
        </w:rPr>
        <w:t>tym proponuje się wprowadzić następujące rozwiązania:</w:t>
      </w:r>
    </w:p>
    <w:p w14:paraId="4534F37D" w14:textId="22B998CC" w:rsidR="00DA25C2" w:rsidRPr="00C4755C" w:rsidRDefault="00DA25C2" w:rsidP="001C6F5C">
      <w:pPr>
        <w:pStyle w:val="Default"/>
        <w:tabs>
          <w:tab w:val="left" w:pos="426"/>
        </w:tabs>
        <w:spacing w:line="360" w:lineRule="auto"/>
        <w:ind w:left="426" w:hanging="426"/>
        <w:jc w:val="both"/>
        <w:rPr>
          <w:rFonts w:ascii="Times New Roman" w:hAnsi="Times New Roman" w:cs="Times New Roman"/>
        </w:rPr>
      </w:pPr>
      <w:r w:rsidRPr="00C4755C">
        <w:rPr>
          <w:rFonts w:ascii="Times New Roman" w:hAnsi="Times New Roman" w:cs="Times New Roman"/>
        </w:rPr>
        <w:t>1)</w:t>
      </w:r>
      <w:r w:rsidRPr="00C4755C">
        <w:rPr>
          <w:rFonts w:ascii="Times New Roman" w:hAnsi="Times New Roman" w:cs="Times New Roman"/>
        </w:rPr>
        <w:tab/>
        <w:t>przerzucenie ciężaru dowodu, że termin w umowie nie jest rażąco nieuczciwy, na dłużnika (art. 11a ust. 2)</w:t>
      </w:r>
      <w:r w:rsidR="00851994">
        <w:rPr>
          <w:rFonts w:ascii="Times New Roman" w:hAnsi="Times New Roman" w:cs="Times New Roman"/>
        </w:rPr>
        <w:t>;</w:t>
      </w:r>
    </w:p>
    <w:p w14:paraId="1B6DCD31" w14:textId="452795F0" w:rsidR="00DA25C2" w:rsidRPr="00C4755C" w:rsidRDefault="00DA25C2" w:rsidP="001C6F5C">
      <w:pPr>
        <w:pStyle w:val="Default"/>
        <w:tabs>
          <w:tab w:val="left" w:pos="426"/>
        </w:tabs>
        <w:spacing w:line="360" w:lineRule="auto"/>
        <w:ind w:left="426" w:hanging="426"/>
        <w:jc w:val="both"/>
        <w:rPr>
          <w:rFonts w:ascii="Times New Roman" w:hAnsi="Times New Roman" w:cs="Times New Roman"/>
        </w:rPr>
      </w:pPr>
      <w:r w:rsidRPr="00C4755C">
        <w:rPr>
          <w:rFonts w:ascii="Times New Roman" w:hAnsi="Times New Roman" w:cs="Times New Roman"/>
        </w:rPr>
        <w:t>2)</w:t>
      </w:r>
      <w:r w:rsidRPr="00C4755C">
        <w:rPr>
          <w:rFonts w:ascii="Times New Roman" w:hAnsi="Times New Roman" w:cs="Times New Roman"/>
        </w:rPr>
        <w:tab/>
        <w:t>wprowadzenie zasady, że trzyletni termin na ustalenie, że termin zapłaty w umowie jest nieuczciwy</w:t>
      </w:r>
      <w:r w:rsidR="00BC2B6B" w:rsidRPr="00C4755C">
        <w:rPr>
          <w:rFonts w:ascii="Times New Roman" w:hAnsi="Times New Roman" w:cs="Times New Roman"/>
        </w:rPr>
        <w:t xml:space="preserve"> wobec wierzyciela</w:t>
      </w:r>
      <w:r w:rsidRPr="00C4755C">
        <w:rPr>
          <w:rFonts w:ascii="Times New Roman" w:hAnsi="Times New Roman" w:cs="Times New Roman"/>
        </w:rPr>
        <w:t>, biegnie od dnia zakończenia wykonywania umowy (art. 11a ust. 3)</w:t>
      </w:r>
      <w:r w:rsidR="00851994">
        <w:rPr>
          <w:rFonts w:ascii="Times New Roman" w:hAnsi="Times New Roman" w:cs="Times New Roman"/>
        </w:rPr>
        <w:t>;</w:t>
      </w:r>
    </w:p>
    <w:p w14:paraId="5E658EEA" w14:textId="1AAFEB23" w:rsidR="00DA25C2" w:rsidRPr="00C4755C" w:rsidRDefault="00DA25C2" w:rsidP="001C6F5C">
      <w:pPr>
        <w:pStyle w:val="Default"/>
        <w:tabs>
          <w:tab w:val="left" w:pos="426"/>
        </w:tabs>
        <w:spacing w:line="360" w:lineRule="auto"/>
        <w:ind w:left="426" w:hanging="426"/>
        <w:jc w:val="both"/>
        <w:rPr>
          <w:rFonts w:ascii="Times New Roman" w:hAnsi="Times New Roman" w:cs="Times New Roman"/>
        </w:rPr>
      </w:pPr>
      <w:r w:rsidRPr="00C4755C">
        <w:rPr>
          <w:rFonts w:ascii="Times New Roman" w:hAnsi="Times New Roman" w:cs="Times New Roman"/>
        </w:rPr>
        <w:t>3)</w:t>
      </w:r>
      <w:r w:rsidRPr="00C4755C">
        <w:rPr>
          <w:rFonts w:ascii="Times New Roman" w:hAnsi="Times New Roman" w:cs="Times New Roman"/>
        </w:rPr>
        <w:tab/>
        <w:t>nieważność (zakaz) zrzeczenia się roszczenia o ustalenie, że termin zapłaty jest nieuczciwy wobec wierzyciela (art. 11a ust. 4)</w:t>
      </w:r>
      <w:r w:rsidR="00851994">
        <w:rPr>
          <w:rFonts w:ascii="Times New Roman" w:hAnsi="Times New Roman" w:cs="Times New Roman"/>
        </w:rPr>
        <w:t>;</w:t>
      </w:r>
    </w:p>
    <w:p w14:paraId="52C59A80" w14:textId="69DC541C" w:rsidR="00DA25C2" w:rsidRPr="00C4755C" w:rsidRDefault="00BC2B6B" w:rsidP="001C6F5C">
      <w:pPr>
        <w:pStyle w:val="Default"/>
        <w:tabs>
          <w:tab w:val="left" w:pos="426"/>
        </w:tabs>
        <w:spacing w:line="360" w:lineRule="auto"/>
        <w:ind w:left="426" w:hanging="426"/>
        <w:jc w:val="both"/>
        <w:rPr>
          <w:rFonts w:ascii="Times New Roman" w:hAnsi="Times New Roman" w:cs="Times New Roman"/>
        </w:rPr>
      </w:pPr>
      <w:r w:rsidRPr="00C4755C">
        <w:rPr>
          <w:rFonts w:ascii="Times New Roman" w:hAnsi="Times New Roman" w:cs="Times New Roman"/>
        </w:rPr>
        <w:t>4</w:t>
      </w:r>
      <w:r w:rsidR="00DA25C2" w:rsidRPr="00C4755C">
        <w:rPr>
          <w:rFonts w:ascii="Times New Roman" w:hAnsi="Times New Roman" w:cs="Times New Roman"/>
        </w:rPr>
        <w:t>)</w:t>
      </w:r>
      <w:r w:rsidR="00DA25C2" w:rsidRPr="00C4755C">
        <w:rPr>
          <w:rFonts w:ascii="Times New Roman" w:hAnsi="Times New Roman" w:cs="Times New Roman"/>
        </w:rPr>
        <w:tab/>
        <w:t>możliwość odstąpienia od umowy lub wypowiedzenia umowy, w której termin zapłaty przekracza 120 dni (art. 7 ust. 3a</w:t>
      </w:r>
      <w:r w:rsidR="00851994">
        <w:rPr>
          <w:rFonts w:ascii="Times New Roman" w:hAnsi="Times New Roman" w:cs="Times New Roman"/>
        </w:rPr>
        <w:t xml:space="preserve"> i </w:t>
      </w:r>
      <w:r w:rsidR="00E61F95" w:rsidRPr="00C4755C">
        <w:rPr>
          <w:rFonts w:ascii="Times New Roman" w:hAnsi="Times New Roman" w:cs="Times New Roman"/>
        </w:rPr>
        <w:t>3b</w:t>
      </w:r>
      <w:r w:rsidR="00DA25C2" w:rsidRPr="00C4755C">
        <w:rPr>
          <w:rFonts w:ascii="Times New Roman" w:hAnsi="Times New Roman" w:cs="Times New Roman"/>
        </w:rPr>
        <w:t>).</w:t>
      </w:r>
    </w:p>
    <w:p w14:paraId="224FE691" w14:textId="4493B16E" w:rsidR="00ED0C82" w:rsidRPr="00C4755C" w:rsidRDefault="00DA25C2" w:rsidP="00C4755C">
      <w:pPr>
        <w:pStyle w:val="ZLITUSTzmustliter"/>
        <w:spacing w:before="120"/>
        <w:ind w:left="0" w:firstLine="0"/>
        <w:rPr>
          <w:rFonts w:ascii="Times New Roman" w:eastAsiaTheme="minorHAnsi" w:hAnsi="Times New Roman" w:cs="Times New Roman"/>
          <w:color w:val="000000"/>
          <w:szCs w:val="24"/>
        </w:rPr>
      </w:pPr>
      <w:r w:rsidRPr="00C4755C">
        <w:rPr>
          <w:rFonts w:ascii="Times New Roman" w:hAnsi="Times New Roman" w:cs="Times New Roman"/>
          <w:szCs w:val="24"/>
        </w:rPr>
        <w:t>Na marginesie można też dodać, że zgodnie z ustabilizowanym dorobkiem orzecznictwa i</w:t>
      </w:r>
      <w:r w:rsidR="00C4755C">
        <w:rPr>
          <w:rFonts w:ascii="Times New Roman" w:hAnsi="Times New Roman" w:cs="Times New Roman"/>
          <w:szCs w:val="24"/>
        </w:rPr>
        <w:t xml:space="preserve"> </w:t>
      </w:r>
      <w:r w:rsidRPr="00C4755C">
        <w:rPr>
          <w:rFonts w:ascii="Times New Roman" w:hAnsi="Times New Roman" w:cs="Times New Roman"/>
          <w:szCs w:val="24"/>
        </w:rPr>
        <w:t xml:space="preserve">doktryny prawa procesowego cywilnego nie ulega wątpliwości, że </w:t>
      </w:r>
      <w:r w:rsidR="00FB5F06" w:rsidRPr="00C4755C">
        <w:rPr>
          <w:rFonts w:ascii="Times New Roman" w:eastAsiaTheme="minorHAnsi" w:hAnsi="Times New Roman" w:cs="Times New Roman"/>
          <w:color w:val="000000"/>
          <w:szCs w:val="24"/>
        </w:rPr>
        <w:t>wytoczenie powództwa o ustalenie jest możliwe tylko wtedy, gdy nie istnieje m</w:t>
      </w:r>
      <w:r w:rsidR="00F3246B" w:rsidRPr="00C4755C">
        <w:rPr>
          <w:rFonts w:ascii="Times New Roman" w:eastAsiaTheme="minorHAnsi" w:hAnsi="Times New Roman" w:cs="Times New Roman"/>
          <w:color w:val="000000"/>
          <w:szCs w:val="24"/>
        </w:rPr>
        <w:t>ożliwość wytoczenia powództwa o</w:t>
      </w:r>
      <w:r w:rsidR="00C4755C">
        <w:rPr>
          <w:rFonts w:ascii="Times New Roman" w:eastAsiaTheme="minorHAnsi" w:hAnsi="Times New Roman" w:cs="Times New Roman"/>
          <w:color w:val="000000"/>
          <w:szCs w:val="24"/>
        </w:rPr>
        <w:t xml:space="preserve"> </w:t>
      </w:r>
      <w:r w:rsidR="00FB5F06" w:rsidRPr="00C4755C">
        <w:rPr>
          <w:rFonts w:ascii="Times New Roman" w:eastAsiaTheme="minorHAnsi" w:hAnsi="Times New Roman" w:cs="Times New Roman"/>
          <w:color w:val="000000"/>
          <w:szCs w:val="24"/>
        </w:rPr>
        <w:t>świadczenie albo o ukształtowanie stosunku prawneg</w:t>
      </w:r>
      <w:r w:rsidR="00F3246B" w:rsidRPr="00C4755C">
        <w:rPr>
          <w:rFonts w:ascii="Times New Roman" w:eastAsiaTheme="minorHAnsi" w:hAnsi="Times New Roman" w:cs="Times New Roman"/>
          <w:color w:val="000000"/>
          <w:szCs w:val="24"/>
        </w:rPr>
        <w:t>o lub prawa (por. np. orz. SN z</w:t>
      </w:r>
      <w:r w:rsidR="0090411F" w:rsidRPr="00C4755C">
        <w:rPr>
          <w:rFonts w:ascii="Times New Roman" w:eastAsiaTheme="minorHAnsi" w:hAnsi="Times New Roman" w:cs="Times New Roman"/>
          <w:color w:val="000000"/>
          <w:szCs w:val="24"/>
        </w:rPr>
        <w:t xml:space="preserve"> </w:t>
      </w:r>
      <w:r w:rsidR="00FB5F06" w:rsidRPr="00C4755C">
        <w:rPr>
          <w:rFonts w:ascii="Times New Roman" w:eastAsiaTheme="minorHAnsi" w:hAnsi="Times New Roman" w:cs="Times New Roman"/>
          <w:color w:val="000000"/>
          <w:szCs w:val="24"/>
        </w:rPr>
        <w:t xml:space="preserve">19.10.1959 r., 4 CR 537/58, NP 1960, Nr 9, s. 1229; zob. wyr. SN z 20.10.1970 </w:t>
      </w:r>
      <w:r w:rsidR="00FB5F06" w:rsidRPr="00C4755C">
        <w:rPr>
          <w:rFonts w:ascii="Times New Roman" w:eastAsiaTheme="minorHAnsi" w:hAnsi="Times New Roman" w:cs="Times New Roman"/>
          <w:color w:val="000000"/>
          <w:szCs w:val="24"/>
        </w:rPr>
        <w:lastRenderedPageBreak/>
        <w:t xml:space="preserve">r., II CR 190/70, wyr. SN z 5.9.2012 r., IV CSK 589/11 albo np. „Kodeks postępowania cywilnego. Komentarz”, red. Andrzej Zieliński, Warszawa 2017). </w:t>
      </w:r>
      <w:r w:rsidR="00597BBA" w:rsidRPr="00C4755C">
        <w:rPr>
          <w:rFonts w:ascii="Times New Roman" w:hAnsi="Times New Roman" w:cs="Times New Roman"/>
          <w:szCs w:val="24"/>
        </w:rPr>
        <w:t xml:space="preserve">Ustalenia określonych okoliczności, będących przesłankami roszczenia o zapłatę, można dochodzić w ramach procesu zainicjowanego powództwem o zapłatę. </w:t>
      </w:r>
      <w:r w:rsidR="00FB5F06" w:rsidRPr="00C4755C">
        <w:rPr>
          <w:rFonts w:ascii="Times New Roman" w:eastAsiaTheme="minorHAnsi" w:hAnsi="Times New Roman" w:cs="Times New Roman"/>
          <w:color w:val="000000"/>
          <w:szCs w:val="24"/>
        </w:rPr>
        <w:t xml:space="preserve">Stąd też, jeśli wierzyciel chciałby ustalić, że pewne postanowienia umowne (w tym w szczególności </w:t>
      </w:r>
      <w:r w:rsidR="00F3246B" w:rsidRPr="00C4755C">
        <w:rPr>
          <w:rFonts w:ascii="Times New Roman" w:eastAsiaTheme="minorHAnsi" w:hAnsi="Times New Roman" w:cs="Times New Roman"/>
          <w:color w:val="000000"/>
          <w:szCs w:val="24"/>
        </w:rPr>
        <w:t>postanowienia umowne związane z</w:t>
      </w:r>
      <w:r w:rsidR="00C4755C">
        <w:rPr>
          <w:rFonts w:ascii="Times New Roman" w:eastAsiaTheme="minorHAnsi" w:hAnsi="Times New Roman" w:cs="Times New Roman"/>
          <w:color w:val="000000"/>
          <w:szCs w:val="24"/>
        </w:rPr>
        <w:t xml:space="preserve"> </w:t>
      </w:r>
      <w:r w:rsidR="00FB5F06" w:rsidRPr="00C4755C">
        <w:rPr>
          <w:rFonts w:ascii="Times New Roman" w:eastAsiaTheme="minorHAnsi" w:hAnsi="Times New Roman" w:cs="Times New Roman"/>
          <w:color w:val="000000"/>
          <w:szCs w:val="24"/>
        </w:rPr>
        <w:t xml:space="preserve">terminem zapłaty) są rażąco nieuczciwe, a równolegle miałby możliwość dochodzenia związanych z tą umową roszczeń o zapłatę, wówczas powinien skorzystać z uprawnień kreowanych projektowanym art. 11a ustawy o terminach </w:t>
      </w:r>
      <w:r w:rsidR="002B544B" w:rsidRPr="00C4755C">
        <w:rPr>
          <w:rFonts w:ascii="Times New Roman" w:eastAsiaTheme="minorHAnsi" w:hAnsi="Times New Roman" w:cs="Times New Roman"/>
          <w:color w:val="000000"/>
          <w:szCs w:val="24"/>
        </w:rPr>
        <w:t xml:space="preserve">zapłaty </w:t>
      </w:r>
      <w:r w:rsidR="00FB5F06" w:rsidRPr="00C4755C">
        <w:rPr>
          <w:rFonts w:ascii="Times New Roman" w:eastAsiaTheme="minorHAnsi" w:hAnsi="Times New Roman" w:cs="Times New Roman"/>
          <w:color w:val="000000"/>
          <w:szCs w:val="24"/>
        </w:rPr>
        <w:t>i ustalić istnienie ww. faktów prawotwórczych w ramach procesu o zapłatę.</w:t>
      </w:r>
    </w:p>
    <w:p w14:paraId="3B2A4273" w14:textId="710A9B14" w:rsidR="004E227E" w:rsidRPr="00C4755C" w:rsidRDefault="004E227E" w:rsidP="00C4755C">
      <w:pPr>
        <w:pStyle w:val="ZLITUSTzmustliter"/>
        <w:spacing w:before="120"/>
        <w:ind w:left="0" w:firstLine="0"/>
        <w:rPr>
          <w:rFonts w:ascii="Times New Roman" w:hAnsi="Times New Roman" w:cs="Times New Roman"/>
          <w:b/>
          <w:i/>
          <w:szCs w:val="24"/>
        </w:rPr>
      </w:pPr>
      <w:r w:rsidRPr="00C4755C">
        <w:rPr>
          <w:rFonts w:ascii="Times New Roman" w:hAnsi="Times New Roman" w:cs="Times New Roman"/>
          <w:b/>
          <w:i/>
          <w:szCs w:val="24"/>
        </w:rPr>
        <w:t>Przerzucenie ciężaru dowodu, że termin w umowie nie jest rażąco nieuczciwy na dłużnika</w:t>
      </w:r>
      <w:r w:rsidR="00C06CF0" w:rsidRPr="00C4755C">
        <w:rPr>
          <w:rFonts w:ascii="Times New Roman" w:hAnsi="Times New Roman" w:cs="Times New Roman"/>
          <w:b/>
          <w:i/>
          <w:szCs w:val="24"/>
        </w:rPr>
        <w:t xml:space="preserve"> </w:t>
      </w:r>
      <w:r w:rsidR="002E0169" w:rsidRPr="00C4755C">
        <w:rPr>
          <w:rFonts w:ascii="Times New Roman" w:hAnsi="Times New Roman" w:cs="Times New Roman"/>
          <w:b/>
          <w:i/>
          <w:szCs w:val="24"/>
        </w:rPr>
        <w:t>(art. 11a ust. 2)</w:t>
      </w:r>
    </w:p>
    <w:p w14:paraId="5F4409FF" w14:textId="356B63E8" w:rsidR="005667BB" w:rsidRPr="00C4755C" w:rsidRDefault="0042170D"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Ustalenie,</w:t>
      </w:r>
      <w:r w:rsidR="005667BB" w:rsidRPr="00C4755C">
        <w:rPr>
          <w:rFonts w:ascii="Times New Roman" w:hAnsi="Times New Roman" w:cs="Times New Roman"/>
        </w:rPr>
        <w:t xml:space="preserve"> </w:t>
      </w:r>
      <w:r w:rsidRPr="00C4755C">
        <w:rPr>
          <w:rFonts w:ascii="Times New Roman" w:hAnsi="Times New Roman" w:cs="Times New Roman"/>
        </w:rPr>
        <w:t>że termin zapłaty w umowie jest rażąco nieuczciwy wobec wierzyciela otwiera</w:t>
      </w:r>
      <w:r w:rsidR="00ED2532" w:rsidRPr="00C4755C">
        <w:rPr>
          <w:rFonts w:ascii="Times New Roman" w:hAnsi="Times New Roman" w:cs="Times New Roman"/>
        </w:rPr>
        <w:t xml:space="preserve"> przed nim</w:t>
      </w:r>
      <w:r w:rsidRPr="00C4755C">
        <w:rPr>
          <w:rFonts w:ascii="Times New Roman" w:hAnsi="Times New Roman" w:cs="Times New Roman"/>
        </w:rPr>
        <w:t xml:space="preserve"> możliwoś</w:t>
      </w:r>
      <w:r w:rsidR="005667BB" w:rsidRPr="00C4755C">
        <w:rPr>
          <w:rFonts w:ascii="Times New Roman" w:hAnsi="Times New Roman" w:cs="Times New Roman"/>
        </w:rPr>
        <w:t xml:space="preserve">ć skorzystania z szeregu uprawnień. Na mocy obowiązujących przepisów, </w:t>
      </w:r>
      <w:r w:rsidRPr="00C4755C">
        <w:rPr>
          <w:rFonts w:ascii="Times New Roman" w:hAnsi="Times New Roman" w:cs="Times New Roman"/>
        </w:rPr>
        <w:t>zakwestionowani</w:t>
      </w:r>
      <w:r w:rsidR="005667BB" w:rsidRPr="00C4755C">
        <w:rPr>
          <w:rFonts w:ascii="Times New Roman" w:hAnsi="Times New Roman" w:cs="Times New Roman"/>
        </w:rPr>
        <w:t>e</w:t>
      </w:r>
      <w:r w:rsidRPr="00C4755C">
        <w:rPr>
          <w:rFonts w:ascii="Times New Roman" w:hAnsi="Times New Roman" w:cs="Times New Roman"/>
        </w:rPr>
        <w:t xml:space="preserve"> terminu </w:t>
      </w:r>
      <w:r w:rsidR="005667BB" w:rsidRPr="00C4755C">
        <w:rPr>
          <w:rFonts w:ascii="Times New Roman" w:hAnsi="Times New Roman" w:cs="Times New Roman"/>
        </w:rPr>
        <w:t>zapłaty</w:t>
      </w:r>
      <w:r w:rsidRPr="00C4755C">
        <w:rPr>
          <w:rFonts w:ascii="Times New Roman" w:hAnsi="Times New Roman" w:cs="Times New Roman"/>
        </w:rPr>
        <w:t xml:space="preserve"> </w:t>
      </w:r>
      <w:r w:rsidR="005667BB" w:rsidRPr="00C4755C">
        <w:rPr>
          <w:rFonts w:ascii="Times New Roman" w:hAnsi="Times New Roman" w:cs="Times New Roman"/>
        </w:rPr>
        <w:t>ustalonego</w:t>
      </w:r>
      <w:r w:rsidRPr="00C4755C">
        <w:rPr>
          <w:rFonts w:ascii="Times New Roman" w:hAnsi="Times New Roman" w:cs="Times New Roman"/>
        </w:rPr>
        <w:t xml:space="preserve"> w umowie, o ile jest on </w:t>
      </w:r>
      <w:r w:rsidR="005667BB" w:rsidRPr="00C4755C">
        <w:rPr>
          <w:rFonts w:ascii="Times New Roman" w:hAnsi="Times New Roman" w:cs="Times New Roman"/>
        </w:rPr>
        <w:t>dłuższy</w:t>
      </w:r>
      <w:r w:rsidRPr="00C4755C">
        <w:rPr>
          <w:rFonts w:ascii="Times New Roman" w:hAnsi="Times New Roman" w:cs="Times New Roman"/>
        </w:rPr>
        <w:t xml:space="preserve"> niż</w:t>
      </w:r>
      <w:r w:rsidR="00852658" w:rsidRPr="00C4755C">
        <w:rPr>
          <w:rFonts w:ascii="Times New Roman" w:hAnsi="Times New Roman" w:cs="Times New Roman"/>
        </w:rPr>
        <w:t xml:space="preserve"> </w:t>
      </w:r>
      <w:r w:rsidR="005667BB" w:rsidRPr="00C4755C">
        <w:rPr>
          <w:rFonts w:ascii="Times New Roman" w:hAnsi="Times New Roman" w:cs="Times New Roman"/>
        </w:rPr>
        <w:t xml:space="preserve">60 dni (art. 7 ust. 2), </w:t>
      </w:r>
      <w:r w:rsidR="00C66B02" w:rsidRPr="00C4755C">
        <w:rPr>
          <w:rFonts w:ascii="Times New Roman" w:hAnsi="Times New Roman" w:cs="Times New Roman"/>
        </w:rPr>
        <w:t xml:space="preserve">pozwala na </w:t>
      </w:r>
      <w:r w:rsidRPr="00C4755C">
        <w:rPr>
          <w:rFonts w:ascii="Times New Roman" w:hAnsi="Times New Roman" w:cs="Times New Roman"/>
        </w:rPr>
        <w:t>dochodzeni</w:t>
      </w:r>
      <w:r w:rsidR="00C66B02" w:rsidRPr="00C4755C">
        <w:rPr>
          <w:rFonts w:ascii="Times New Roman" w:hAnsi="Times New Roman" w:cs="Times New Roman"/>
        </w:rPr>
        <w:t>e</w:t>
      </w:r>
      <w:r w:rsidRPr="00C4755C">
        <w:rPr>
          <w:rFonts w:ascii="Times New Roman" w:hAnsi="Times New Roman" w:cs="Times New Roman"/>
        </w:rPr>
        <w:t xml:space="preserve"> </w:t>
      </w:r>
      <w:r w:rsidR="00F6499E" w:rsidRPr="00C4755C">
        <w:rPr>
          <w:rFonts w:ascii="Times New Roman" w:hAnsi="Times New Roman" w:cs="Times New Roman"/>
        </w:rPr>
        <w:t xml:space="preserve">rekompensaty oraz </w:t>
      </w:r>
      <w:r w:rsidRPr="00C4755C">
        <w:rPr>
          <w:rFonts w:ascii="Times New Roman" w:hAnsi="Times New Roman" w:cs="Times New Roman"/>
        </w:rPr>
        <w:t>odsetek za opóźnienie w transakcjach handlowych za okres przypadający</w:t>
      </w:r>
      <w:r w:rsidR="005667BB" w:rsidRPr="00C4755C">
        <w:rPr>
          <w:rFonts w:ascii="Times New Roman" w:hAnsi="Times New Roman" w:cs="Times New Roman"/>
        </w:rPr>
        <w:t xml:space="preserve"> od 60 dnia </w:t>
      </w:r>
      <w:r w:rsidR="00C66B02" w:rsidRPr="00C4755C">
        <w:rPr>
          <w:rFonts w:ascii="Times New Roman" w:hAnsi="Times New Roman" w:cs="Times New Roman"/>
        </w:rPr>
        <w:t xml:space="preserve">od </w:t>
      </w:r>
      <w:r w:rsidR="005667BB" w:rsidRPr="00C4755C">
        <w:rPr>
          <w:rFonts w:ascii="Times New Roman" w:hAnsi="Times New Roman" w:cs="Times New Roman"/>
        </w:rPr>
        <w:t>doręczenia faktury lub rachunku potwierdzającego spełnienie jego świadczenia niepieniężnego do dnia zapłaty, a</w:t>
      </w:r>
      <w:r w:rsidR="00C4755C">
        <w:rPr>
          <w:rFonts w:ascii="Times New Roman" w:hAnsi="Times New Roman" w:cs="Times New Roman"/>
        </w:rPr>
        <w:t xml:space="preserve"> </w:t>
      </w:r>
      <w:r w:rsidR="005667BB" w:rsidRPr="00C4755C">
        <w:rPr>
          <w:rFonts w:ascii="Times New Roman" w:hAnsi="Times New Roman" w:cs="Times New Roman"/>
        </w:rPr>
        <w:t>więc</w:t>
      </w:r>
      <w:r w:rsidRPr="00C4755C">
        <w:rPr>
          <w:rFonts w:ascii="Times New Roman" w:hAnsi="Times New Roman" w:cs="Times New Roman"/>
        </w:rPr>
        <w:t xml:space="preserve"> </w:t>
      </w:r>
      <w:r w:rsidR="005667BB" w:rsidRPr="00C4755C">
        <w:rPr>
          <w:rFonts w:ascii="Times New Roman" w:hAnsi="Times New Roman" w:cs="Times New Roman"/>
        </w:rPr>
        <w:t xml:space="preserve">za okres przypadający </w:t>
      </w:r>
      <w:r w:rsidRPr="00C4755C">
        <w:rPr>
          <w:rFonts w:ascii="Times New Roman" w:hAnsi="Times New Roman" w:cs="Times New Roman"/>
        </w:rPr>
        <w:t>przed umówionym termine</w:t>
      </w:r>
      <w:r w:rsidR="005667BB" w:rsidRPr="00C4755C">
        <w:rPr>
          <w:rFonts w:ascii="Times New Roman" w:hAnsi="Times New Roman" w:cs="Times New Roman"/>
        </w:rPr>
        <w:t>m</w:t>
      </w:r>
      <w:r w:rsidRPr="00C4755C">
        <w:rPr>
          <w:rFonts w:ascii="Times New Roman" w:hAnsi="Times New Roman" w:cs="Times New Roman"/>
        </w:rPr>
        <w:t xml:space="preserve"> zapłaty. </w:t>
      </w:r>
      <w:r w:rsidR="005667BB" w:rsidRPr="00C4755C">
        <w:rPr>
          <w:rFonts w:ascii="Times New Roman" w:hAnsi="Times New Roman" w:cs="Times New Roman"/>
        </w:rPr>
        <w:t>Ustalenie nadmiernie wydłużonego termin</w:t>
      </w:r>
      <w:r w:rsidR="00851994">
        <w:rPr>
          <w:rFonts w:ascii="Times New Roman" w:hAnsi="Times New Roman" w:cs="Times New Roman"/>
        </w:rPr>
        <w:t>u</w:t>
      </w:r>
      <w:r w:rsidR="005667BB" w:rsidRPr="00C4755C">
        <w:rPr>
          <w:rFonts w:ascii="Times New Roman" w:hAnsi="Times New Roman" w:cs="Times New Roman"/>
        </w:rPr>
        <w:t xml:space="preserve"> zapłaty może także ułatwić dochodzenie odszkodowan</w:t>
      </w:r>
      <w:r w:rsidR="000C61F4" w:rsidRPr="00C4755C">
        <w:rPr>
          <w:rFonts w:ascii="Times New Roman" w:hAnsi="Times New Roman" w:cs="Times New Roman"/>
        </w:rPr>
        <w:t>ia z tytułu spóźnionej zapłaty.</w:t>
      </w:r>
    </w:p>
    <w:p w14:paraId="500D7021" w14:textId="5D5E4316" w:rsidR="004E227E" w:rsidRPr="00C4755C" w:rsidRDefault="0042170D"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Projektowany przepis art. 11a ust. 2 przewiduje, że ciężar dowodu ustalenia, że termin</w:t>
      </w:r>
      <w:r w:rsidR="0073739D" w:rsidRPr="00C4755C">
        <w:rPr>
          <w:rFonts w:ascii="Times New Roman" w:hAnsi="Times New Roman" w:cs="Times New Roman"/>
        </w:rPr>
        <w:t xml:space="preserve"> </w:t>
      </w:r>
      <w:r w:rsidR="009D2368" w:rsidRPr="00C4755C">
        <w:rPr>
          <w:rFonts w:ascii="Times New Roman" w:hAnsi="Times New Roman" w:cs="Times New Roman"/>
        </w:rPr>
        <w:t xml:space="preserve">zapłaty dłuższy niż 60 dni </w:t>
      </w:r>
      <w:r w:rsidRPr="00C4755C">
        <w:rPr>
          <w:rFonts w:ascii="Times New Roman" w:hAnsi="Times New Roman" w:cs="Times New Roman"/>
        </w:rPr>
        <w:t>nie jest rażąco nieuczciwy wobec wierzyciela</w:t>
      </w:r>
      <w:r w:rsidR="009D2368" w:rsidRPr="00C4755C">
        <w:rPr>
          <w:rFonts w:ascii="Times New Roman" w:hAnsi="Times New Roman" w:cs="Times New Roman"/>
        </w:rPr>
        <w:t>,</w:t>
      </w:r>
      <w:r w:rsidRPr="00C4755C">
        <w:rPr>
          <w:rFonts w:ascii="Times New Roman" w:hAnsi="Times New Roman" w:cs="Times New Roman"/>
        </w:rPr>
        <w:t xml:space="preserve"> będzie spoczywał na dłużniku. Odwrócenie</w:t>
      </w:r>
      <w:r w:rsidR="00BD2EA6" w:rsidRPr="00C4755C">
        <w:rPr>
          <w:rFonts w:ascii="Times New Roman" w:hAnsi="Times New Roman" w:cs="Times New Roman"/>
        </w:rPr>
        <w:t xml:space="preserve"> </w:t>
      </w:r>
      <w:r w:rsidRPr="00C4755C">
        <w:rPr>
          <w:rFonts w:ascii="Times New Roman" w:hAnsi="Times New Roman" w:cs="Times New Roman"/>
        </w:rPr>
        <w:t>zasady</w:t>
      </w:r>
      <w:r w:rsidR="00BD2EA6" w:rsidRPr="00C4755C">
        <w:rPr>
          <w:rStyle w:val="Odwoanieprzypisudolnego"/>
          <w:rFonts w:ascii="Times New Roman" w:hAnsi="Times New Roman"/>
        </w:rPr>
        <w:footnoteReference w:id="26"/>
      </w:r>
      <w:r w:rsidR="00312E96" w:rsidRPr="00C4755C">
        <w:rPr>
          <w:rFonts w:ascii="Times New Roman" w:hAnsi="Times New Roman" w:cs="Times New Roman"/>
          <w:vertAlign w:val="superscript"/>
        </w:rPr>
        <w:t>)</w:t>
      </w:r>
      <w:r w:rsidR="00BD2EA6" w:rsidRPr="00C4755C">
        <w:rPr>
          <w:rFonts w:ascii="Times New Roman" w:hAnsi="Times New Roman" w:cs="Times New Roman"/>
        </w:rPr>
        <w:t xml:space="preserve"> </w:t>
      </w:r>
      <w:r w:rsidRPr="00C4755C">
        <w:rPr>
          <w:rFonts w:ascii="Times New Roman" w:hAnsi="Times New Roman" w:cs="Times New Roman"/>
        </w:rPr>
        <w:t>obciążenia ciężarem dowodu wzmocni pozycj</w:t>
      </w:r>
      <w:r w:rsidR="00897E3E" w:rsidRPr="00C4755C">
        <w:rPr>
          <w:rFonts w:ascii="Times New Roman" w:hAnsi="Times New Roman" w:cs="Times New Roman"/>
        </w:rPr>
        <w:t>ę</w:t>
      </w:r>
      <w:r w:rsidRPr="00C4755C">
        <w:rPr>
          <w:rFonts w:ascii="Times New Roman" w:hAnsi="Times New Roman" w:cs="Times New Roman"/>
        </w:rPr>
        <w:t xml:space="preserve"> wierzyciela w sporze z dłużnikiem. </w:t>
      </w:r>
      <w:r w:rsidR="005667BB" w:rsidRPr="00C4755C">
        <w:rPr>
          <w:rFonts w:ascii="Times New Roman" w:hAnsi="Times New Roman" w:cs="Times New Roman"/>
        </w:rPr>
        <w:t>Dzięki takiemu rozwiązaniu ryzyko, jakie podejmuje wierzyciel wda</w:t>
      </w:r>
      <w:r w:rsidR="00082D09" w:rsidRPr="00C4755C">
        <w:rPr>
          <w:rFonts w:ascii="Times New Roman" w:hAnsi="Times New Roman" w:cs="Times New Roman"/>
        </w:rPr>
        <w:t>jąc</w:t>
      </w:r>
      <w:r w:rsidR="005667BB" w:rsidRPr="00C4755C">
        <w:rPr>
          <w:rFonts w:ascii="Times New Roman" w:hAnsi="Times New Roman" w:cs="Times New Roman"/>
        </w:rPr>
        <w:t xml:space="preserve"> się w spór co do prawidłowości ustalenia terminu zapłaty w umowie</w:t>
      </w:r>
      <w:r w:rsidR="00082D09" w:rsidRPr="00C4755C">
        <w:rPr>
          <w:rFonts w:ascii="Times New Roman" w:hAnsi="Times New Roman" w:cs="Times New Roman"/>
        </w:rPr>
        <w:t>,</w:t>
      </w:r>
      <w:r w:rsidR="005667BB" w:rsidRPr="00C4755C">
        <w:rPr>
          <w:rFonts w:ascii="Times New Roman" w:hAnsi="Times New Roman" w:cs="Times New Roman"/>
        </w:rPr>
        <w:t xml:space="preserve"> będzie znacznie niższe. </w:t>
      </w:r>
      <w:r w:rsidR="00F6499E" w:rsidRPr="00C4755C">
        <w:rPr>
          <w:rFonts w:ascii="Times New Roman" w:hAnsi="Times New Roman" w:cs="Times New Roman"/>
        </w:rPr>
        <w:t xml:space="preserve">Takie rozwiązanie nie zastąpi inicjatywy własnej wierzyciela, ale poprawi jego sytuację. Z punktu widzenia dłużnika, obciążenie go ciężarem dowodu, czyli „obrony” wydłużonego terminu zapłaty, sprawi, że narzucanie takiego terminu może być strategią krótkowzroczną oraz – ostatecznie rzecz ujmując – </w:t>
      </w:r>
      <w:r w:rsidR="00F6499E" w:rsidRPr="00C4755C">
        <w:rPr>
          <w:rFonts w:ascii="Times New Roman" w:hAnsi="Times New Roman" w:cs="Times New Roman"/>
        </w:rPr>
        <w:lastRenderedPageBreak/>
        <w:t>nieopłacalną.</w:t>
      </w:r>
      <w:r w:rsidR="00082D09" w:rsidRPr="00C4755C">
        <w:rPr>
          <w:rFonts w:ascii="Times New Roman" w:hAnsi="Times New Roman" w:cs="Times New Roman"/>
        </w:rPr>
        <w:t xml:space="preserve"> W </w:t>
      </w:r>
      <w:r w:rsidR="0036291E" w:rsidRPr="00C4755C">
        <w:rPr>
          <w:rFonts w:ascii="Times New Roman" w:hAnsi="Times New Roman" w:cs="Times New Roman"/>
        </w:rPr>
        <w:t>t</w:t>
      </w:r>
      <w:r w:rsidR="00082D09" w:rsidRPr="00C4755C">
        <w:rPr>
          <w:rFonts w:ascii="Times New Roman" w:hAnsi="Times New Roman" w:cs="Times New Roman"/>
        </w:rPr>
        <w:t>en sposób projektowane przepisy przyczynią się do skrócenia terminów zapłaty w gospodarce.</w:t>
      </w:r>
    </w:p>
    <w:p w14:paraId="2E937A7B" w14:textId="5276B17C" w:rsidR="004E227E" w:rsidRPr="00C4755C" w:rsidRDefault="004E227E" w:rsidP="00C4755C">
      <w:pPr>
        <w:pStyle w:val="ZLITUSTzmustliter"/>
        <w:spacing w:before="120"/>
        <w:ind w:left="0" w:firstLine="0"/>
        <w:rPr>
          <w:rFonts w:ascii="Times New Roman" w:hAnsi="Times New Roman" w:cs="Times New Roman"/>
          <w:b/>
          <w:i/>
          <w:szCs w:val="24"/>
        </w:rPr>
      </w:pPr>
      <w:r w:rsidRPr="00C4755C">
        <w:rPr>
          <w:rFonts w:ascii="Times New Roman" w:hAnsi="Times New Roman" w:cs="Times New Roman"/>
          <w:b/>
          <w:i/>
          <w:szCs w:val="24"/>
        </w:rPr>
        <w:t>Rozpoczęcie biegu trzyletniego terminu na ustalenie, że termin zapłaty w umowie jest nieuczciwy, od dnia zakończenia wykonywania umowy</w:t>
      </w:r>
      <w:r w:rsidR="002E0169" w:rsidRPr="00C4755C">
        <w:rPr>
          <w:rFonts w:ascii="Times New Roman" w:hAnsi="Times New Roman" w:cs="Times New Roman"/>
          <w:b/>
          <w:i/>
          <w:szCs w:val="24"/>
        </w:rPr>
        <w:t xml:space="preserve"> (art. 11a ust. 3)</w:t>
      </w:r>
    </w:p>
    <w:p w14:paraId="1044D84C" w14:textId="2E83D031" w:rsidR="0030399D" w:rsidRPr="00C4755C" w:rsidRDefault="00F6499E"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Zgodnie z obowiązującym przepisem art. 118 </w:t>
      </w:r>
      <w:r w:rsidR="00B252CE" w:rsidRPr="00C4755C">
        <w:rPr>
          <w:rFonts w:ascii="Times New Roman" w:hAnsi="Times New Roman" w:cs="Times New Roman"/>
        </w:rPr>
        <w:t xml:space="preserve">w zw. z art. 117 § 1 </w:t>
      </w:r>
      <w:r w:rsidRPr="00C4755C">
        <w:rPr>
          <w:rFonts w:ascii="Times New Roman" w:hAnsi="Times New Roman" w:cs="Times New Roman"/>
        </w:rPr>
        <w:t>Kodeksu cywilnego, roszczenia</w:t>
      </w:r>
      <w:r w:rsidR="00B252CE" w:rsidRPr="00C4755C">
        <w:rPr>
          <w:rFonts w:ascii="Times New Roman" w:hAnsi="Times New Roman" w:cs="Times New Roman"/>
        </w:rPr>
        <w:t xml:space="preserve"> majątkowe</w:t>
      </w:r>
      <w:r w:rsidRPr="00C4755C">
        <w:rPr>
          <w:rFonts w:ascii="Times New Roman" w:hAnsi="Times New Roman" w:cs="Times New Roman"/>
        </w:rPr>
        <w:t xml:space="preserve"> związane z prowadzeniem działalności gospodarczej ulegają przedawnieniu w terminie trzech lat.</w:t>
      </w:r>
      <w:r w:rsidR="0079252F" w:rsidRPr="00C4755C">
        <w:rPr>
          <w:rFonts w:ascii="Times New Roman" w:hAnsi="Times New Roman" w:cs="Times New Roman"/>
        </w:rPr>
        <w:t xml:space="preserve"> </w:t>
      </w:r>
      <w:r w:rsidR="00381F43" w:rsidRPr="00C4755C">
        <w:rPr>
          <w:rFonts w:ascii="Times New Roman" w:hAnsi="Times New Roman" w:cs="Times New Roman"/>
        </w:rPr>
        <w:t>W obecnym stanie prawnym s</w:t>
      </w:r>
      <w:r w:rsidR="00B252CE" w:rsidRPr="00C4755C">
        <w:rPr>
          <w:rFonts w:ascii="Times New Roman" w:hAnsi="Times New Roman" w:cs="Times New Roman"/>
        </w:rPr>
        <w:t>twierdzenie niezgodności z prawem terminu zapłaty w umowie</w:t>
      </w:r>
      <w:r w:rsidR="008A3696" w:rsidRPr="00C4755C">
        <w:rPr>
          <w:rFonts w:ascii="Times New Roman" w:hAnsi="Times New Roman" w:cs="Times New Roman"/>
        </w:rPr>
        <w:t xml:space="preserve"> jest</w:t>
      </w:r>
      <w:r w:rsidR="00381F43" w:rsidRPr="00C4755C">
        <w:rPr>
          <w:rFonts w:ascii="Times New Roman" w:hAnsi="Times New Roman" w:cs="Times New Roman"/>
        </w:rPr>
        <w:t xml:space="preserve"> </w:t>
      </w:r>
      <w:r w:rsidR="008A3696" w:rsidRPr="00C4755C">
        <w:rPr>
          <w:rFonts w:ascii="Times New Roman" w:hAnsi="Times New Roman" w:cs="Times New Roman"/>
        </w:rPr>
        <w:t xml:space="preserve">przesłanką </w:t>
      </w:r>
      <w:r w:rsidR="00B252CE" w:rsidRPr="00C4755C">
        <w:rPr>
          <w:rFonts w:ascii="Times New Roman" w:hAnsi="Times New Roman" w:cs="Times New Roman"/>
        </w:rPr>
        <w:t>do uzyskania</w:t>
      </w:r>
      <w:r w:rsidR="008A3696" w:rsidRPr="00C4755C">
        <w:rPr>
          <w:rFonts w:ascii="Times New Roman" w:hAnsi="Times New Roman" w:cs="Times New Roman"/>
        </w:rPr>
        <w:t xml:space="preserve"> m.in.</w:t>
      </w:r>
      <w:r w:rsidR="00B252CE" w:rsidRPr="00C4755C">
        <w:rPr>
          <w:rFonts w:ascii="Times New Roman" w:hAnsi="Times New Roman" w:cs="Times New Roman"/>
        </w:rPr>
        <w:t xml:space="preserve"> odsetek za okres poprzedzający te</w:t>
      </w:r>
      <w:r w:rsidR="008A3696" w:rsidRPr="00C4755C">
        <w:rPr>
          <w:rFonts w:ascii="Times New Roman" w:hAnsi="Times New Roman" w:cs="Times New Roman"/>
        </w:rPr>
        <w:t xml:space="preserve">rmin zapłaty określony w umowie (art. </w:t>
      </w:r>
      <w:r w:rsidR="00265723" w:rsidRPr="00C4755C">
        <w:rPr>
          <w:rFonts w:ascii="Times New Roman" w:hAnsi="Times New Roman" w:cs="Times New Roman"/>
        </w:rPr>
        <w:t>7</w:t>
      </w:r>
      <w:r w:rsidR="00CA6E79" w:rsidRPr="00C4755C">
        <w:rPr>
          <w:rFonts w:ascii="Times New Roman" w:hAnsi="Times New Roman" w:cs="Times New Roman"/>
        </w:rPr>
        <w:t xml:space="preserve"> ust. 2</w:t>
      </w:r>
      <w:r w:rsidR="00C4755C">
        <w:rPr>
          <w:rFonts w:ascii="Times New Roman" w:hAnsi="Times New Roman" w:cs="Times New Roman"/>
        </w:rPr>
        <w:t xml:space="preserve"> </w:t>
      </w:r>
      <w:r w:rsidR="00CF6012" w:rsidRPr="00C4755C">
        <w:rPr>
          <w:rFonts w:ascii="Times New Roman" w:hAnsi="Times New Roman" w:cs="Times New Roman"/>
        </w:rPr>
        <w:t xml:space="preserve">ustawy </w:t>
      </w:r>
      <w:r w:rsidR="000D5DCF" w:rsidRPr="00C4755C">
        <w:rPr>
          <w:rFonts w:ascii="Times New Roman" w:hAnsi="Times New Roman" w:cs="Times New Roman"/>
        </w:rPr>
        <w:t>o</w:t>
      </w:r>
      <w:r w:rsidR="00C4755C">
        <w:rPr>
          <w:rFonts w:ascii="Times New Roman" w:hAnsi="Times New Roman" w:cs="Times New Roman"/>
        </w:rPr>
        <w:t xml:space="preserve"> </w:t>
      </w:r>
      <w:r w:rsidR="000D5DCF" w:rsidRPr="00C4755C">
        <w:rPr>
          <w:rFonts w:ascii="Times New Roman" w:hAnsi="Times New Roman" w:cs="Times New Roman"/>
        </w:rPr>
        <w:t>terminach zapłaty</w:t>
      </w:r>
      <w:r w:rsidR="008A3696" w:rsidRPr="00C4755C">
        <w:rPr>
          <w:rFonts w:ascii="Times New Roman" w:hAnsi="Times New Roman" w:cs="Times New Roman"/>
        </w:rPr>
        <w:t>), a</w:t>
      </w:r>
      <w:r w:rsidR="006E11A0" w:rsidRPr="00C4755C">
        <w:rPr>
          <w:rFonts w:ascii="Times New Roman" w:hAnsi="Times New Roman" w:cs="Times New Roman"/>
        </w:rPr>
        <w:t xml:space="preserve"> nie samodzielnym roszczeniem o</w:t>
      </w:r>
      <w:r w:rsidR="00584C51" w:rsidRPr="00C4755C">
        <w:rPr>
          <w:rFonts w:ascii="Times New Roman" w:hAnsi="Times New Roman" w:cs="Times New Roman"/>
        </w:rPr>
        <w:t xml:space="preserve"> </w:t>
      </w:r>
      <w:r w:rsidR="008A3696" w:rsidRPr="00C4755C">
        <w:rPr>
          <w:rFonts w:ascii="Times New Roman" w:hAnsi="Times New Roman" w:cs="Times New Roman"/>
        </w:rPr>
        <w:t>ustalenie</w:t>
      </w:r>
      <w:r w:rsidR="00533A64" w:rsidRPr="00C4755C">
        <w:rPr>
          <w:rFonts w:ascii="Times New Roman" w:hAnsi="Times New Roman" w:cs="Times New Roman"/>
        </w:rPr>
        <w:t>.</w:t>
      </w:r>
      <w:r w:rsidR="005E36E1" w:rsidRPr="00C4755C">
        <w:rPr>
          <w:rFonts w:ascii="Times New Roman" w:hAnsi="Times New Roman" w:cs="Times New Roman"/>
        </w:rPr>
        <w:t xml:space="preserve"> Nawet jeżeli uznać je za roszczenie samodzieln</w:t>
      </w:r>
      <w:r w:rsidR="006E11A0" w:rsidRPr="00C4755C">
        <w:rPr>
          <w:rFonts w:ascii="Times New Roman" w:hAnsi="Times New Roman" w:cs="Times New Roman"/>
        </w:rPr>
        <w:t>e, to ma charakter majątkowy, i</w:t>
      </w:r>
      <w:r w:rsidR="00584C51" w:rsidRPr="00C4755C">
        <w:rPr>
          <w:rFonts w:ascii="Times New Roman" w:hAnsi="Times New Roman" w:cs="Times New Roman"/>
        </w:rPr>
        <w:t xml:space="preserve"> </w:t>
      </w:r>
      <w:r w:rsidR="005E36E1" w:rsidRPr="00C4755C">
        <w:rPr>
          <w:rFonts w:ascii="Times New Roman" w:hAnsi="Times New Roman" w:cs="Times New Roman"/>
        </w:rPr>
        <w:t>tym samym ulega przedawnieniu</w:t>
      </w:r>
      <w:r w:rsidR="00FE0399" w:rsidRPr="00C4755C">
        <w:rPr>
          <w:rStyle w:val="Odwoanieprzypisudolnego"/>
          <w:rFonts w:ascii="Times New Roman" w:hAnsi="Times New Roman"/>
        </w:rPr>
        <w:footnoteReference w:id="27"/>
      </w:r>
      <w:r w:rsidR="00312E96" w:rsidRPr="00C4755C">
        <w:rPr>
          <w:rFonts w:ascii="Times New Roman" w:hAnsi="Times New Roman" w:cs="Times New Roman"/>
          <w:vertAlign w:val="superscript"/>
        </w:rPr>
        <w:t>)</w:t>
      </w:r>
      <w:r w:rsidR="005E36E1" w:rsidRPr="00C4755C">
        <w:rPr>
          <w:rFonts w:ascii="Times New Roman" w:hAnsi="Times New Roman" w:cs="Times New Roman"/>
        </w:rPr>
        <w:t>.</w:t>
      </w:r>
      <w:r w:rsidR="00533A64" w:rsidRPr="00C4755C">
        <w:rPr>
          <w:rFonts w:ascii="Times New Roman" w:hAnsi="Times New Roman" w:cs="Times New Roman"/>
        </w:rPr>
        <w:t xml:space="preserve"> </w:t>
      </w:r>
      <w:r w:rsidR="008A3696" w:rsidRPr="00C4755C">
        <w:rPr>
          <w:rFonts w:ascii="Times New Roman" w:hAnsi="Times New Roman" w:cs="Times New Roman"/>
        </w:rPr>
        <w:t xml:space="preserve">W związku z tym </w:t>
      </w:r>
      <w:r w:rsidR="00265723" w:rsidRPr="00C4755C">
        <w:rPr>
          <w:rFonts w:ascii="Times New Roman" w:hAnsi="Times New Roman" w:cs="Times New Roman"/>
        </w:rPr>
        <w:t>należy przyj</w:t>
      </w:r>
      <w:r w:rsidR="0089216B" w:rsidRPr="00C4755C">
        <w:rPr>
          <w:rFonts w:ascii="Times New Roman" w:hAnsi="Times New Roman" w:cs="Times New Roman"/>
        </w:rPr>
        <w:t>ąć</w:t>
      </w:r>
      <w:r w:rsidR="00BC74E7" w:rsidRPr="00C4755C">
        <w:rPr>
          <w:rFonts w:ascii="Times New Roman" w:hAnsi="Times New Roman" w:cs="Times New Roman"/>
        </w:rPr>
        <w:t>, że roszczenie o</w:t>
      </w:r>
      <w:r w:rsidR="00584C51" w:rsidRPr="00C4755C">
        <w:rPr>
          <w:rFonts w:ascii="Times New Roman" w:hAnsi="Times New Roman" w:cs="Times New Roman"/>
        </w:rPr>
        <w:t xml:space="preserve"> </w:t>
      </w:r>
      <w:r w:rsidR="008A3696" w:rsidRPr="00C4755C">
        <w:rPr>
          <w:rFonts w:ascii="Times New Roman" w:hAnsi="Times New Roman" w:cs="Times New Roman"/>
        </w:rPr>
        <w:t>taki</w:t>
      </w:r>
      <w:r w:rsidR="00F3246B" w:rsidRPr="00C4755C">
        <w:rPr>
          <w:rFonts w:ascii="Times New Roman" w:hAnsi="Times New Roman" w:cs="Times New Roman"/>
        </w:rPr>
        <w:t>e odsetki ulega przedawnieniu w</w:t>
      </w:r>
      <w:r w:rsidR="00C4755C">
        <w:rPr>
          <w:rFonts w:ascii="Times New Roman" w:hAnsi="Times New Roman" w:cs="Times New Roman"/>
        </w:rPr>
        <w:t xml:space="preserve"> </w:t>
      </w:r>
      <w:r w:rsidR="008A3696" w:rsidRPr="00C4755C">
        <w:rPr>
          <w:rFonts w:ascii="Times New Roman" w:hAnsi="Times New Roman" w:cs="Times New Roman"/>
        </w:rPr>
        <w:t>terminie trzech lat, liczonych nawet od dnia zawarcia umowy</w:t>
      </w:r>
      <w:r w:rsidR="001A50B7" w:rsidRPr="00C4755C">
        <w:rPr>
          <w:rFonts w:ascii="Times New Roman" w:hAnsi="Times New Roman" w:cs="Times New Roman"/>
        </w:rPr>
        <w:t>.</w:t>
      </w:r>
      <w:r w:rsidR="00381F43" w:rsidRPr="00C4755C">
        <w:rPr>
          <w:rFonts w:ascii="Times New Roman" w:hAnsi="Times New Roman" w:cs="Times New Roman"/>
        </w:rPr>
        <w:t xml:space="preserve"> </w:t>
      </w:r>
      <w:r w:rsidRPr="00C4755C">
        <w:rPr>
          <w:rFonts w:ascii="Times New Roman" w:hAnsi="Times New Roman" w:cs="Times New Roman"/>
        </w:rPr>
        <w:t xml:space="preserve">Taki okres jest zbyt krótki. </w:t>
      </w:r>
      <w:r w:rsidR="0093248A" w:rsidRPr="00C4755C">
        <w:rPr>
          <w:rFonts w:ascii="Times New Roman" w:hAnsi="Times New Roman" w:cs="Times New Roman"/>
        </w:rPr>
        <w:t>Zapewnienie, a</w:t>
      </w:r>
      <w:r w:rsidR="009049C6" w:rsidRPr="00C4755C">
        <w:rPr>
          <w:rFonts w:ascii="Times New Roman" w:hAnsi="Times New Roman" w:cs="Times New Roman"/>
        </w:rPr>
        <w:t>by projektowane uprawnienia</w:t>
      </w:r>
      <w:r w:rsidR="00642A94" w:rsidRPr="00C4755C">
        <w:rPr>
          <w:rFonts w:ascii="Times New Roman" w:hAnsi="Times New Roman" w:cs="Times New Roman"/>
        </w:rPr>
        <w:t xml:space="preserve"> wierzyciela</w:t>
      </w:r>
      <w:r w:rsidR="009049C6" w:rsidRPr="00C4755C">
        <w:rPr>
          <w:rFonts w:ascii="Times New Roman" w:hAnsi="Times New Roman" w:cs="Times New Roman"/>
        </w:rPr>
        <w:t xml:space="preserve"> miały rzeczywisty wpływ na stosunki gospodarcze,</w:t>
      </w:r>
      <w:r w:rsidR="00E22E5D" w:rsidRPr="00C4755C">
        <w:rPr>
          <w:rFonts w:ascii="Times New Roman" w:hAnsi="Times New Roman" w:cs="Times New Roman"/>
        </w:rPr>
        <w:t xml:space="preserve"> wymaga, aby</w:t>
      </w:r>
      <w:r w:rsidR="009049C6" w:rsidRPr="00C4755C">
        <w:rPr>
          <w:rFonts w:ascii="Times New Roman" w:hAnsi="Times New Roman" w:cs="Times New Roman"/>
        </w:rPr>
        <w:t xml:space="preserve"> d</w:t>
      </w:r>
      <w:r w:rsidRPr="00C4755C">
        <w:rPr>
          <w:rFonts w:ascii="Times New Roman" w:hAnsi="Times New Roman" w:cs="Times New Roman"/>
        </w:rPr>
        <w:t xml:space="preserve">łużnik </w:t>
      </w:r>
      <w:r w:rsidR="00A32389" w:rsidRPr="00C4755C">
        <w:rPr>
          <w:rFonts w:ascii="Times New Roman" w:hAnsi="Times New Roman" w:cs="Times New Roman"/>
        </w:rPr>
        <w:t xml:space="preserve">miał </w:t>
      </w:r>
      <w:r w:rsidR="001D73A3" w:rsidRPr="00C4755C">
        <w:rPr>
          <w:rFonts w:ascii="Times New Roman" w:hAnsi="Times New Roman" w:cs="Times New Roman"/>
        </w:rPr>
        <w:t>dłuższy</w:t>
      </w:r>
      <w:r w:rsidRPr="00C4755C">
        <w:rPr>
          <w:rFonts w:ascii="Times New Roman" w:hAnsi="Times New Roman" w:cs="Times New Roman"/>
        </w:rPr>
        <w:t xml:space="preserve"> czas na ustalenie, że termin zapłaty był nieuczciwy. </w:t>
      </w:r>
      <w:r w:rsidR="00F1745F">
        <w:rPr>
          <w:rFonts w:ascii="Times New Roman" w:hAnsi="Times New Roman" w:cs="Times New Roman"/>
        </w:rPr>
        <w:t>W projektowanym art. 11a ust. </w:t>
      </w:r>
      <w:r w:rsidR="0030399D" w:rsidRPr="00C4755C">
        <w:rPr>
          <w:rFonts w:ascii="Times New Roman" w:hAnsi="Times New Roman" w:cs="Times New Roman"/>
        </w:rPr>
        <w:t xml:space="preserve">3 przewiduje się, że </w:t>
      </w:r>
      <w:r w:rsidR="008C20E2" w:rsidRPr="00C4755C">
        <w:rPr>
          <w:rFonts w:ascii="Times New Roman" w:hAnsi="Times New Roman" w:cs="Times New Roman"/>
        </w:rPr>
        <w:t>żądanie</w:t>
      </w:r>
      <w:r w:rsidR="0030399D" w:rsidRPr="00C4755C">
        <w:rPr>
          <w:rFonts w:ascii="Times New Roman" w:hAnsi="Times New Roman" w:cs="Times New Roman"/>
        </w:rPr>
        <w:t xml:space="preserve"> ustaleni</w:t>
      </w:r>
      <w:r w:rsidR="008C20E2" w:rsidRPr="00C4755C">
        <w:rPr>
          <w:rFonts w:ascii="Times New Roman" w:hAnsi="Times New Roman" w:cs="Times New Roman"/>
        </w:rPr>
        <w:t>a</w:t>
      </w:r>
      <w:r w:rsidR="0030399D" w:rsidRPr="00C4755C">
        <w:rPr>
          <w:rFonts w:ascii="Times New Roman" w:hAnsi="Times New Roman" w:cs="Times New Roman"/>
        </w:rPr>
        <w:t xml:space="preserve">, że termin zapłaty </w:t>
      </w:r>
      <w:r w:rsidR="00205304" w:rsidRPr="00C4755C">
        <w:rPr>
          <w:rFonts w:ascii="Times New Roman" w:hAnsi="Times New Roman" w:cs="Times New Roman"/>
        </w:rPr>
        <w:t>jest</w:t>
      </w:r>
      <w:r w:rsidR="0030399D" w:rsidRPr="00C4755C">
        <w:rPr>
          <w:rFonts w:ascii="Times New Roman" w:hAnsi="Times New Roman" w:cs="Times New Roman"/>
        </w:rPr>
        <w:t xml:space="preserve"> rażąco nieuczciwy wobec wierzyciela</w:t>
      </w:r>
      <w:r w:rsidR="0079252F" w:rsidRPr="00C4755C">
        <w:rPr>
          <w:rFonts w:ascii="Times New Roman" w:hAnsi="Times New Roman" w:cs="Times New Roman"/>
        </w:rPr>
        <w:t>,</w:t>
      </w:r>
      <w:r w:rsidR="0030399D" w:rsidRPr="00C4755C">
        <w:rPr>
          <w:rFonts w:ascii="Times New Roman" w:hAnsi="Times New Roman" w:cs="Times New Roman"/>
        </w:rPr>
        <w:t xml:space="preserve"> mo</w:t>
      </w:r>
      <w:r w:rsidR="001B79EA" w:rsidRPr="00C4755C">
        <w:rPr>
          <w:rFonts w:ascii="Times New Roman" w:hAnsi="Times New Roman" w:cs="Times New Roman"/>
        </w:rPr>
        <w:t>gło</w:t>
      </w:r>
      <w:r w:rsidR="0030399D" w:rsidRPr="00C4755C">
        <w:rPr>
          <w:rFonts w:ascii="Times New Roman" w:hAnsi="Times New Roman" w:cs="Times New Roman"/>
        </w:rPr>
        <w:t xml:space="preserve"> być zgłoszone w terminie trzech lat od dnia, w którym</w:t>
      </w:r>
      <w:r w:rsidR="00132FB9" w:rsidRPr="00C4755C">
        <w:rPr>
          <w:rFonts w:ascii="Times New Roman" w:hAnsi="Times New Roman" w:cs="Times New Roman"/>
        </w:rPr>
        <w:t xml:space="preserve"> </w:t>
      </w:r>
      <w:r w:rsidR="001571F2" w:rsidRPr="00C4755C">
        <w:rPr>
          <w:rFonts w:ascii="Times New Roman" w:hAnsi="Times New Roman" w:cs="Times New Roman"/>
        </w:rPr>
        <w:t>nastąpiła</w:t>
      </w:r>
      <w:r w:rsidR="00132FB9" w:rsidRPr="00C4755C">
        <w:rPr>
          <w:rFonts w:ascii="Times New Roman" w:hAnsi="Times New Roman" w:cs="Times New Roman"/>
        </w:rPr>
        <w:t xml:space="preserve"> lub </w:t>
      </w:r>
      <w:r w:rsidR="00B424CE" w:rsidRPr="00C4755C">
        <w:rPr>
          <w:rFonts w:ascii="Times New Roman" w:hAnsi="Times New Roman" w:cs="Times New Roman"/>
        </w:rPr>
        <w:t xml:space="preserve">zgodnie z ustawą powinna </w:t>
      </w:r>
      <w:r w:rsidR="00132FB9" w:rsidRPr="00C4755C">
        <w:rPr>
          <w:rFonts w:ascii="Times New Roman" w:hAnsi="Times New Roman" w:cs="Times New Roman"/>
        </w:rPr>
        <w:t>nastąpić zapłata</w:t>
      </w:r>
      <w:r w:rsidR="000C61F4" w:rsidRPr="00C4755C">
        <w:rPr>
          <w:rFonts w:ascii="Times New Roman" w:hAnsi="Times New Roman" w:cs="Times New Roman"/>
        </w:rPr>
        <w:t>.</w:t>
      </w:r>
    </w:p>
    <w:p w14:paraId="3C2AA32B" w14:textId="3B8B6BD3" w:rsidR="002E0169" w:rsidRPr="00C4755C" w:rsidRDefault="0030399D"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Rzeczywiste wzmocnienie pozycji wierzyciela wobec, zwykle silniejszego, dłużnika wymaga przyjęcia rozwiązań, które uwzględniają nie tylko utrwalone konstrukcje prawne, ale także względy psychologicznie. </w:t>
      </w:r>
      <w:r w:rsidR="00F6499E" w:rsidRPr="00C4755C">
        <w:rPr>
          <w:rFonts w:ascii="Times New Roman" w:hAnsi="Times New Roman" w:cs="Times New Roman"/>
        </w:rPr>
        <w:t xml:space="preserve">Trudno spodziewać się, aby wierzyciel podważał zawartą przez siebie umowę, gdy często nadal łączą go z dłużnikiem bieżące relacje handlowe. </w:t>
      </w:r>
      <w:r w:rsidR="00F9467F" w:rsidRPr="00C4755C">
        <w:rPr>
          <w:rFonts w:ascii="Times New Roman" w:hAnsi="Times New Roman" w:cs="Times New Roman"/>
        </w:rPr>
        <w:t>Przesuniecie rozpoczęcia biegu terminu</w:t>
      </w:r>
      <w:r w:rsidRPr="00C4755C">
        <w:rPr>
          <w:rFonts w:ascii="Times New Roman" w:hAnsi="Times New Roman" w:cs="Times New Roman"/>
        </w:rPr>
        <w:t xml:space="preserve"> na zgłoszenie roszczenia</w:t>
      </w:r>
      <w:r w:rsidR="009049C6" w:rsidRPr="00C4755C">
        <w:rPr>
          <w:rFonts w:ascii="Times New Roman" w:hAnsi="Times New Roman" w:cs="Times New Roman"/>
        </w:rPr>
        <w:t xml:space="preserve"> wpłynie na </w:t>
      </w:r>
      <w:r w:rsidR="00F6499E" w:rsidRPr="00C4755C">
        <w:rPr>
          <w:rFonts w:ascii="Times New Roman" w:hAnsi="Times New Roman" w:cs="Times New Roman"/>
        </w:rPr>
        <w:t>dłużnik</w:t>
      </w:r>
      <w:r w:rsidR="009049C6" w:rsidRPr="00C4755C">
        <w:rPr>
          <w:rFonts w:ascii="Times New Roman" w:hAnsi="Times New Roman" w:cs="Times New Roman"/>
        </w:rPr>
        <w:t>ów</w:t>
      </w:r>
      <w:r w:rsidR="00F6499E" w:rsidRPr="00C4755C">
        <w:rPr>
          <w:rFonts w:ascii="Times New Roman" w:hAnsi="Times New Roman" w:cs="Times New Roman"/>
        </w:rPr>
        <w:t>, którzy będą musieli liczyć się z</w:t>
      </w:r>
      <w:r w:rsidR="005C58B1" w:rsidRPr="00C4755C">
        <w:rPr>
          <w:rFonts w:ascii="Times New Roman" w:hAnsi="Times New Roman" w:cs="Times New Roman"/>
        </w:rPr>
        <w:t xml:space="preserve"> </w:t>
      </w:r>
      <w:r w:rsidR="0036291E" w:rsidRPr="00C4755C">
        <w:rPr>
          <w:rFonts w:ascii="Times New Roman" w:hAnsi="Times New Roman" w:cs="Times New Roman"/>
        </w:rPr>
        <w:t xml:space="preserve">działaniem </w:t>
      </w:r>
      <w:r w:rsidR="00F6499E" w:rsidRPr="00C4755C">
        <w:rPr>
          <w:rFonts w:ascii="Times New Roman" w:hAnsi="Times New Roman" w:cs="Times New Roman"/>
        </w:rPr>
        <w:t xml:space="preserve">wierzyciela, nawet gdy umowa już będzie </w:t>
      </w:r>
      <w:r w:rsidR="00A44297" w:rsidRPr="00C4755C">
        <w:rPr>
          <w:rFonts w:ascii="Times New Roman" w:hAnsi="Times New Roman" w:cs="Times New Roman"/>
        </w:rPr>
        <w:t>„</w:t>
      </w:r>
      <w:r w:rsidR="00F6499E" w:rsidRPr="00C4755C">
        <w:rPr>
          <w:rFonts w:ascii="Times New Roman" w:hAnsi="Times New Roman" w:cs="Times New Roman"/>
        </w:rPr>
        <w:t>formalnie</w:t>
      </w:r>
      <w:r w:rsidR="00A44297" w:rsidRPr="00C4755C">
        <w:rPr>
          <w:rFonts w:ascii="Times New Roman" w:hAnsi="Times New Roman" w:cs="Times New Roman"/>
        </w:rPr>
        <w:t>”</w:t>
      </w:r>
      <w:r w:rsidR="00F6499E" w:rsidRPr="00C4755C">
        <w:rPr>
          <w:rFonts w:ascii="Times New Roman" w:hAnsi="Times New Roman" w:cs="Times New Roman"/>
        </w:rPr>
        <w:t xml:space="preserve"> zakończona. </w:t>
      </w:r>
      <w:r w:rsidR="00DC01CE" w:rsidRPr="00C4755C">
        <w:rPr>
          <w:rFonts w:ascii="Times New Roman" w:hAnsi="Times New Roman" w:cs="Times New Roman"/>
        </w:rPr>
        <w:t>Projektowany mechanizm kreuje samodzielne roszczenie odnoszące się do wykonanej umowy</w:t>
      </w:r>
      <w:r w:rsidR="00FE0399" w:rsidRPr="00C4755C">
        <w:rPr>
          <w:rStyle w:val="Odwoanieprzypisudolnego"/>
          <w:rFonts w:ascii="Times New Roman" w:hAnsi="Times New Roman"/>
        </w:rPr>
        <w:footnoteReference w:id="28"/>
      </w:r>
      <w:r w:rsidR="00312E96" w:rsidRPr="00C4755C">
        <w:rPr>
          <w:rFonts w:ascii="Times New Roman" w:hAnsi="Times New Roman" w:cs="Times New Roman"/>
          <w:vertAlign w:val="superscript"/>
        </w:rPr>
        <w:t>)</w:t>
      </w:r>
      <w:r w:rsidR="00DC01CE" w:rsidRPr="00C4755C">
        <w:rPr>
          <w:rFonts w:ascii="Times New Roman" w:hAnsi="Times New Roman" w:cs="Times New Roman"/>
        </w:rPr>
        <w:t xml:space="preserve">. Z przedstawionych </w:t>
      </w:r>
      <w:r w:rsidR="00DC01CE" w:rsidRPr="00C4755C">
        <w:rPr>
          <w:rFonts w:ascii="Times New Roman" w:hAnsi="Times New Roman" w:cs="Times New Roman"/>
        </w:rPr>
        <w:lastRenderedPageBreak/>
        <w:t xml:space="preserve">wyżej powodów praktycznych, takie rozwiązanie </w:t>
      </w:r>
      <w:r w:rsidR="00FF34CB" w:rsidRPr="00C4755C">
        <w:rPr>
          <w:rFonts w:ascii="Times New Roman" w:hAnsi="Times New Roman" w:cs="Times New Roman"/>
        </w:rPr>
        <w:t xml:space="preserve">jest </w:t>
      </w:r>
      <w:r w:rsidR="00DC01CE" w:rsidRPr="00C4755C">
        <w:rPr>
          <w:rFonts w:ascii="Times New Roman" w:hAnsi="Times New Roman" w:cs="Times New Roman"/>
        </w:rPr>
        <w:t xml:space="preserve">niezbędne. W trakcie </w:t>
      </w:r>
      <w:r w:rsidR="00F6499E" w:rsidRPr="00C4755C">
        <w:rPr>
          <w:rFonts w:ascii="Times New Roman" w:hAnsi="Times New Roman" w:cs="Times New Roman"/>
        </w:rPr>
        <w:t xml:space="preserve">wykonywania umowy dłużnik może </w:t>
      </w:r>
      <w:r w:rsidR="00DC01CE" w:rsidRPr="00C4755C">
        <w:rPr>
          <w:rFonts w:ascii="Times New Roman" w:hAnsi="Times New Roman" w:cs="Times New Roman"/>
        </w:rPr>
        <w:t xml:space="preserve">przecież </w:t>
      </w:r>
      <w:r w:rsidR="00F6499E" w:rsidRPr="00C4755C">
        <w:rPr>
          <w:rFonts w:ascii="Times New Roman" w:hAnsi="Times New Roman" w:cs="Times New Roman"/>
        </w:rPr>
        <w:t>nawet nie sygnalizować niezadowolenia z umowy</w:t>
      </w:r>
      <w:r w:rsidR="00FF34CB" w:rsidRPr="00C4755C">
        <w:rPr>
          <w:rFonts w:ascii="Times New Roman" w:hAnsi="Times New Roman" w:cs="Times New Roman"/>
        </w:rPr>
        <w:t>, nie wspominając o możliwej presji nałożenia drakońskich kar umownych</w:t>
      </w:r>
      <w:r w:rsidR="00F6499E" w:rsidRPr="00C4755C">
        <w:rPr>
          <w:rFonts w:ascii="Times New Roman" w:hAnsi="Times New Roman" w:cs="Times New Roman"/>
        </w:rPr>
        <w:t>. Takiego zachowania nie można jednak uznać za nielojalne, skoro zwykle to dłu</w:t>
      </w:r>
      <w:r w:rsidR="000C61F4" w:rsidRPr="00C4755C">
        <w:rPr>
          <w:rFonts w:ascii="Times New Roman" w:hAnsi="Times New Roman" w:cs="Times New Roman"/>
        </w:rPr>
        <w:t>żnik narzuca wydłużone terminy</w:t>
      </w:r>
      <w:r w:rsidR="00624683" w:rsidRPr="00C4755C">
        <w:rPr>
          <w:rFonts w:ascii="Times New Roman" w:hAnsi="Times New Roman" w:cs="Times New Roman"/>
        </w:rPr>
        <w:t xml:space="preserve"> zapłaty</w:t>
      </w:r>
      <w:r w:rsidR="000C61F4" w:rsidRPr="00C4755C">
        <w:rPr>
          <w:rFonts w:ascii="Times New Roman" w:hAnsi="Times New Roman" w:cs="Times New Roman"/>
        </w:rPr>
        <w:t>.</w:t>
      </w:r>
    </w:p>
    <w:p w14:paraId="1393C6C9" w14:textId="27E26365" w:rsidR="00B41F70" w:rsidRPr="00C4755C" w:rsidRDefault="00A44297"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Jednocześnie, zakreślenie limitu czasowego podważania postanowienia umowy wykluczy spory co do charakteru prawnego projektowanej instytucji i wyzn</w:t>
      </w:r>
      <w:r w:rsidR="000C61F4" w:rsidRPr="00C4755C">
        <w:rPr>
          <w:rFonts w:ascii="Times New Roman" w:hAnsi="Times New Roman" w:cs="Times New Roman"/>
        </w:rPr>
        <w:t>aczy granicę stanu niepewności.</w:t>
      </w:r>
    </w:p>
    <w:p w14:paraId="4F76DEBF" w14:textId="11D6C218" w:rsidR="008A1F10" w:rsidRPr="00C4755C" w:rsidRDefault="002E0169" w:rsidP="00C4755C">
      <w:pPr>
        <w:pStyle w:val="ZLITUSTzmustliter"/>
        <w:spacing w:before="120"/>
        <w:ind w:left="0" w:firstLine="0"/>
        <w:rPr>
          <w:rFonts w:ascii="Times New Roman" w:hAnsi="Times New Roman" w:cs="Times New Roman"/>
          <w:b/>
          <w:i/>
          <w:szCs w:val="24"/>
        </w:rPr>
      </w:pPr>
      <w:r w:rsidRPr="00C4755C">
        <w:rPr>
          <w:rFonts w:ascii="Times New Roman" w:hAnsi="Times New Roman" w:cs="Times New Roman"/>
          <w:b/>
          <w:i/>
          <w:szCs w:val="24"/>
        </w:rPr>
        <w:t>Nieważność (zakaz) zrzeczenia się roszczenia o ustaleni</w:t>
      </w:r>
      <w:r w:rsidR="00487A26" w:rsidRPr="00C4755C">
        <w:rPr>
          <w:rFonts w:ascii="Times New Roman" w:hAnsi="Times New Roman" w:cs="Times New Roman"/>
          <w:b/>
          <w:i/>
          <w:szCs w:val="24"/>
        </w:rPr>
        <w:t>e</w:t>
      </w:r>
      <w:r w:rsidRPr="00C4755C">
        <w:rPr>
          <w:rFonts w:ascii="Times New Roman" w:hAnsi="Times New Roman" w:cs="Times New Roman"/>
          <w:b/>
          <w:i/>
          <w:szCs w:val="24"/>
        </w:rPr>
        <w:t xml:space="preserve">, że termin zapłaty jest </w:t>
      </w:r>
      <w:r w:rsidR="00B03D8F" w:rsidRPr="00C4755C">
        <w:rPr>
          <w:rFonts w:ascii="Times New Roman" w:hAnsi="Times New Roman" w:cs="Times New Roman"/>
          <w:b/>
          <w:i/>
          <w:szCs w:val="24"/>
        </w:rPr>
        <w:t xml:space="preserve">rażąco </w:t>
      </w:r>
      <w:r w:rsidRPr="00C4755C">
        <w:rPr>
          <w:rFonts w:ascii="Times New Roman" w:hAnsi="Times New Roman" w:cs="Times New Roman"/>
          <w:b/>
          <w:i/>
          <w:szCs w:val="24"/>
        </w:rPr>
        <w:t>nieuczciwy wobec wierzyciela (art. 11a ust. 4</w:t>
      </w:r>
      <w:r w:rsidR="00C60F73" w:rsidRPr="00C4755C">
        <w:rPr>
          <w:rFonts w:ascii="Times New Roman" w:hAnsi="Times New Roman" w:cs="Times New Roman"/>
          <w:b/>
          <w:i/>
          <w:szCs w:val="24"/>
        </w:rPr>
        <w:t>)</w:t>
      </w:r>
    </w:p>
    <w:p w14:paraId="2DD12D5F" w14:textId="330BF0FC" w:rsidR="002E0169" w:rsidRPr="00C4755C" w:rsidRDefault="00DF493B"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Kluczowym przepisem ustawy, który w istocie warunkuje skuteczność szeregu rozwiązań projektowanej ustawy</w:t>
      </w:r>
      <w:r w:rsidR="008A1F10" w:rsidRPr="00C4755C">
        <w:rPr>
          <w:rFonts w:ascii="Times New Roman" w:hAnsi="Times New Roman" w:cs="Times New Roman"/>
        </w:rPr>
        <w:t>,</w:t>
      </w:r>
      <w:r w:rsidRPr="00C4755C">
        <w:rPr>
          <w:rFonts w:ascii="Times New Roman" w:hAnsi="Times New Roman" w:cs="Times New Roman"/>
        </w:rPr>
        <w:t xml:space="preserve"> jest </w:t>
      </w:r>
      <w:r w:rsidR="00C876D2" w:rsidRPr="00C4755C">
        <w:rPr>
          <w:rFonts w:ascii="Times New Roman" w:hAnsi="Times New Roman" w:cs="Times New Roman"/>
        </w:rPr>
        <w:t>proponowany</w:t>
      </w:r>
      <w:r w:rsidRPr="00C4755C">
        <w:rPr>
          <w:rFonts w:ascii="Times New Roman" w:hAnsi="Times New Roman" w:cs="Times New Roman"/>
        </w:rPr>
        <w:t xml:space="preserve"> art. 11a ust. 4. Nie wymaga szerszego uzasadnienia to, że w warunkach nierównej siły ekonomiczniej stron umowy, wymuszenie na słabszej stronie zrzeczenia się roszczenia o ustalenie, że termin zapłaty w umowie jest rażąco nieuczciwy, pozbawi wierzyciela wszelkich środków ochrony praw, które </w:t>
      </w:r>
      <w:r w:rsidR="00C566A0" w:rsidRPr="00C4755C">
        <w:rPr>
          <w:rFonts w:ascii="Times New Roman" w:hAnsi="Times New Roman" w:cs="Times New Roman"/>
        </w:rPr>
        <w:t>zostały przewidziane w ustawie, a w każdym razie znacząco utrudni korzystanie z nich.</w:t>
      </w:r>
    </w:p>
    <w:p w14:paraId="79471CD1" w14:textId="76E0C179" w:rsidR="00A136E3" w:rsidRPr="00C4755C" w:rsidRDefault="00DF493B"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Wobec powyższego do ustawy o </w:t>
      </w:r>
      <w:r w:rsidR="00851134" w:rsidRPr="00C4755C">
        <w:rPr>
          <w:rFonts w:ascii="Times New Roman" w:hAnsi="Times New Roman" w:cs="Times New Roman"/>
        </w:rPr>
        <w:t>przeciwdzi</w:t>
      </w:r>
      <w:r w:rsidR="00F3246B" w:rsidRPr="00C4755C">
        <w:rPr>
          <w:rFonts w:ascii="Times New Roman" w:hAnsi="Times New Roman" w:cs="Times New Roman"/>
        </w:rPr>
        <w:t>ałaniu nadmiernym opóźnieniom w</w:t>
      </w:r>
      <w:r w:rsidR="00C4755C">
        <w:rPr>
          <w:rFonts w:ascii="Times New Roman" w:hAnsi="Times New Roman" w:cs="Times New Roman"/>
        </w:rPr>
        <w:t xml:space="preserve"> </w:t>
      </w:r>
      <w:r w:rsidR="00851134" w:rsidRPr="00C4755C">
        <w:rPr>
          <w:rFonts w:ascii="Times New Roman" w:hAnsi="Times New Roman" w:cs="Times New Roman"/>
        </w:rPr>
        <w:t>transakcjach handlowych</w:t>
      </w:r>
      <w:r w:rsidRPr="00C4755C">
        <w:rPr>
          <w:rFonts w:ascii="Times New Roman" w:hAnsi="Times New Roman" w:cs="Times New Roman"/>
        </w:rPr>
        <w:t xml:space="preserve"> </w:t>
      </w:r>
      <w:r w:rsidR="00BE65EF" w:rsidRPr="00C4755C">
        <w:rPr>
          <w:rFonts w:ascii="Times New Roman" w:hAnsi="Times New Roman" w:cs="Times New Roman"/>
        </w:rPr>
        <w:t xml:space="preserve">należy wprowadzić </w:t>
      </w:r>
      <w:r w:rsidRPr="00C4755C">
        <w:rPr>
          <w:rFonts w:ascii="Times New Roman" w:hAnsi="Times New Roman" w:cs="Times New Roman"/>
        </w:rPr>
        <w:t xml:space="preserve">przepis, że </w:t>
      </w:r>
      <w:r w:rsidR="00913EF0" w:rsidRPr="00C4755C">
        <w:rPr>
          <w:rFonts w:ascii="Times New Roman" w:hAnsi="Times New Roman" w:cs="Times New Roman"/>
        </w:rPr>
        <w:t xml:space="preserve">nieważne jest </w:t>
      </w:r>
      <w:r w:rsidRPr="00C4755C">
        <w:rPr>
          <w:rFonts w:ascii="Times New Roman" w:hAnsi="Times New Roman" w:cs="Times New Roman"/>
        </w:rPr>
        <w:t>zrzeczenie się roszczenia o</w:t>
      </w:r>
      <w:r w:rsidR="00913EF0" w:rsidRPr="00C4755C">
        <w:rPr>
          <w:rFonts w:ascii="Times New Roman" w:hAnsi="Times New Roman" w:cs="Times New Roman"/>
        </w:rPr>
        <w:t xml:space="preserve"> ustalenie, że termin zapłaty jest </w:t>
      </w:r>
      <w:r w:rsidR="00B03D8F" w:rsidRPr="00C4755C">
        <w:rPr>
          <w:rFonts w:ascii="Times New Roman" w:hAnsi="Times New Roman" w:cs="Times New Roman"/>
        </w:rPr>
        <w:t xml:space="preserve">rażąco </w:t>
      </w:r>
      <w:r w:rsidR="00913EF0" w:rsidRPr="00C4755C">
        <w:rPr>
          <w:rFonts w:ascii="Times New Roman" w:hAnsi="Times New Roman" w:cs="Times New Roman"/>
        </w:rPr>
        <w:t xml:space="preserve">nieuczciwy wobec wierzyciela. Złamanie </w:t>
      </w:r>
      <w:r w:rsidR="00AE68E0" w:rsidRPr="00C4755C">
        <w:rPr>
          <w:rFonts w:ascii="Times New Roman" w:hAnsi="Times New Roman" w:cs="Times New Roman"/>
        </w:rPr>
        <w:t xml:space="preserve">takiego </w:t>
      </w:r>
      <w:r w:rsidR="00913EF0" w:rsidRPr="00C4755C">
        <w:rPr>
          <w:rFonts w:ascii="Times New Roman" w:hAnsi="Times New Roman" w:cs="Times New Roman"/>
        </w:rPr>
        <w:t xml:space="preserve">zakazu zrzeczenia będzie nieskuteczne i nie będzie mogło być uwzględnione przez sąd. W ten sposób wierzyciel, który ulegnie presji </w:t>
      </w:r>
      <w:r w:rsidR="00F3246B" w:rsidRPr="00C4755C">
        <w:rPr>
          <w:rFonts w:ascii="Times New Roman" w:hAnsi="Times New Roman" w:cs="Times New Roman"/>
        </w:rPr>
        <w:t>dłużnika i złoży oświadczenie o</w:t>
      </w:r>
      <w:r w:rsidR="00C4755C">
        <w:rPr>
          <w:rFonts w:ascii="Times New Roman" w:hAnsi="Times New Roman" w:cs="Times New Roman"/>
        </w:rPr>
        <w:t xml:space="preserve"> </w:t>
      </w:r>
      <w:r w:rsidR="00913EF0" w:rsidRPr="00C4755C">
        <w:rPr>
          <w:rFonts w:ascii="Times New Roman" w:hAnsi="Times New Roman" w:cs="Times New Roman"/>
        </w:rPr>
        <w:t>zrzeczeniu się</w:t>
      </w:r>
      <w:r w:rsidR="00AE68E0" w:rsidRPr="00C4755C">
        <w:rPr>
          <w:rFonts w:ascii="Times New Roman" w:hAnsi="Times New Roman" w:cs="Times New Roman"/>
        </w:rPr>
        <w:t>,</w:t>
      </w:r>
      <w:r w:rsidR="006E11A0" w:rsidRPr="00C4755C">
        <w:rPr>
          <w:rFonts w:ascii="Times New Roman" w:hAnsi="Times New Roman" w:cs="Times New Roman"/>
        </w:rPr>
        <w:t xml:space="preserve"> niczym nie ryzykuje i</w:t>
      </w:r>
      <w:r w:rsidR="00584C51" w:rsidRPr="00C4755C">
        <w:rPr>
          <w:rFonts w:ascii="Times New Roman" w:hAnsi="Times New Roman" w:cs="Times New Roman"/>
        </w:rPr>
        <w:t xml:space="preserve"> </w:t>
      </w:r>
      <w:r w:rsidR="00913EF0" w:rsidRPr="00C4755C">
        <w:rPr>
          <w:rFonts w:ascii="Times New Roman" w:hAnsi="Times New Roman" w:cs="Times New Roman"/>
        </w:rPr>
        <w:t>nadal będzie mógł skorzystać z uprawnień przewidzianych w nowelizowanej ustawie.</w:t>
      </w:r>
    </w:p>
    <w:p w14:paraId="2C075AB6" w14:textId="549D0518" w:rsidR="004E227E" w:rsidRPr="00C4755C" w:rsidRDefault="004E227E" w:rsidP="00C4755C">
      <w:pPr>
        <w:pStyle w:val="ZLITUSTzmustliter"/>
        <w:spacing w:before="120"/>
        <w:ind w:left="0" w:firstLine="0"/>
        <w:rPr>
          <w:rFonts w:ascii="Times New Roman" w:hAnsi="Times New Roman" w:cs="Times New Roman"/>
          <w:b/>
          <w:i/>
          <w:szCs w:val="24"/>
        </w:rPr>
      </w:pPr>
      <w:r w:rsidRPr="00C4755C">
        <w:rPr>
          <w:rFonts w:ascii="Times New Roman" w:hAnsi="Times New Roman" w:cs="Times New Roman"/>
          <w:b/>
          <w:i/>
          <w:szCs w:val="24"/>
        </w:rPr>
        <w:t>Możliwość odstąpienia od umowy lub wypowiedzenia umowy, w k</w:t>
      </w:r>
      <w:r w:rsidR="00EA3D15" w:rsidRPr="00C4755C">
        <w:rPr>
          <w:rFonts w:ascii="Times New Roman" w:hAnsi="Times New Roman" w:cs="Times New Roman"/>
          <w:b/>
          <w:i/>
          <w:szCs w:val="24"/>
        </w:rPr>
        <w:t>tórej termin zapłaty przekracza</w:t>
      </w:r>
      <w:r w:rsidRPr="00C4755C">
        <w:rPr>
          <w:rFonts w:ascii="Times New Roman" w:hAnsi="Times New Roman" w:cs="Times New Roman"/>
          <w:b/>
          <w:i/>
          <w:szCs w:val="24"/>
        </w:rPr>
        <w:t xml:space="preserve"> 120 dni</w:t>
      </w:r>
      <w:r w:rsidR="007F6E12" w:rsidRPr="00C4755C">
        <w:rPr>
          <w:rFonts w:ascii="Times New Roman" w:hAnsi="Times New Roman" w:cs="Times New Roman"/>
          <w:b/>
          <w:i/>
          <w:szCs w:val="24"/>
        </w:rPr>
        <w:t xml:space="preserve"> (art. </w:t>
      </w:r>
      <w:r w:rsidR="003C1E8D" w:rsidRPr="00C4755C">
        <w:rPr>
          <w:rFonts w:ascii="Times New Roman" w:hAnsi="Times New Roman" w:cs="Times New Roman"/>
          <w:b/>
          <w:i/>
          <w:szCs w:val="24"/>
        </w:rPr>
        <w:t>7 ust. 3a</w:t>
      </w:r>
      <w:r w:rsidR="00851994">
        <w:rPr>
          <w:rFonts w:ascii="Times New Roman" w:hAnsi="Times New Roman" w:cs="Times New Roman"/>
          <w:b/>
          <w:i/>
          <w:szCs w:val="24"/>
        </w:rPr>
        <w:t xml:space="preserve"> i </w:t>
      </w:r>
      <w:r w:rsidR="00E61F95" w:rsidRPr="00C4755C">
        <w:rPr>
          <w:rFonts w:ascii="Times New Roman" w:hAnsi="Times New Roman" w:cs="Times New Roman"/>
          <w:b/>
          <w:i/>
          <w:szCs w:val="24"/>
        </w:rPr>
        <w:t>3b</w:t>
      </w:r>
      <w:r w:rsidR="007F6E12" w:rsidRPr="00C4755C">
        <w:rPr>
          <w:rFonts w:ascii="Times New Roman" w:hAnsi="Times New Roman" w:cs="Times New Roman"/>
          <w:b/>
          <w:i/>
          <w:szCs w:val="24"/>
        </w:rPr>
        <w:t>)</w:t>
      </w:r>
    </w:p>
    <w:p w14:paraId="312FBBEE" w14:textId="58F3B44E" w:rsidR="00B56025" w:rsidRPr="00C4755C" w:rsidRDefault="00B56025"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Przepisy ustawy o terminach zapłaty w transakcjach handlowych nie przewidują </w:t>
      </w:r>
      <w:r w:rsidR="00EA3D15" w:rsidRPr="00C4755C">
        <w:rPr>
          <w:rFonts w:ascii="Times New Roman" w:hAnsi="Times New Roman" w:cs="Times New Roman"/>
        </w:rPr>
        <w:t xml:space="preserve">obecnie </w:t>
      </w:r>
      <w:r w:rsidRPr="00C4755C">
        <w:rPr>
          <w:rFonts w:ascii="Times New Roman" w:hAnsi="Times New Roman" w:cs="Times New Roman"/>
        </w:rPr>
        <w:t xml:space="preserve">rozwiązań, które pozwalałyby </w:t>
      </w:r>
      <w:r w:rsidR="00FB1784" w:rsidRPr="00C4755C">
        <w:rPr>
          <w:rFonts w:ascii="Times New Roman" w:hAnsi="Times New Roman" w:cs="Times New Roman"/>
        </w:rPr>
        <w:t xml:space="preserve">wierzycielowi </w:t>
      </w:r>
      <w:r w:rsidRPr="00C4755C">
        <w:rPr>
          <w:rFonts w:ascii="Times New Roman" w:hAnsi="Times New Roman" w:cs="Times New Roman"/>
        </w:rPr>
        <w:t xml:space="preserve">na uwolnienie się z krzywdzącej dla niego relacji. Tymczasem, umożliwienie wyjścia </w:t>
      </w:r>
      <w:r w:rsidR="00FB1784" w:rsidRPr="00C4755C">
        <w:rPr>
          <w:rFonts w:ascii="Times New Roman" w:hAnsi="Times New Roman" w:cs="Times New Roman"/>
        </w:rPr>
        <w:t xml:space="preserve">wierzycielowi </w:t>
      </w:r>
      <w:r w:rsidR="00EA3D15" w:rsidRPr="00C4755C">
        <w:rPr>
          <w:rFonts w:ascii="Times New Roman" w:hAnsi="Times New Roman" w:cs="Times New Roman"/>
        </w:rPr>
        <w:t>z takiej relacji często</w:t>
      </w:r>
      <w:r w:rsidRPr="00C4755C">
        <w:rPr>
          <w:rFonts w:ascii="Times New Roman" w:hAnsi="Times New Roman" w:cs="Times New Roman"/>
        </w:rPr>
        <w:t xml:space="preserve"> by</w:t>
      </w:r>
      <w:r w:rsidR="000C61F4" w:rsidRPr="00C4755C">
        <w:rPr>
          <w:rFonts w:ascii="Times New Roman" w:hAnsi="Times New Roman" w:cs="Times New Roman"/>
        </w:rPr>
        <w:t>łoby preferowanym rozwiązaniem.</w:t>
      </w:r>
    </w:p>
    <w:p w14:paraId="0F495BB3" w14:textId="26D94DAD" w:rsidR="00B57535" w:rsidRPr="00C4755C" w:rsidRDefault="00B56025"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lastRenderedPageBreak/>
        <w:t xml:space="preserve">Z tego względu w projektowanym art. </w:t>
      </w:r>
      <w:r w:rsidR="003C1E8D" w:rsidRPr="00C4755C">
        <w:rPr>
          <w:rFonts w:ascii="Times New Roman" w:hAnsi="Times New Roman" w:cs="Times New Roman"/>
        </w:rPr>
        <w:t>7 ust. 3a</w:t>
      </w:r>
      <w:r w:rsidRPr="00C4755C">
        <w:rPr>
          <w:rFonts w:ascii="Times New Roman" w:hAnsi="Times New Roman" w:cs="Times New Roman"/>
        </w:rPr>
        <w:t xml:space="preserve"> przewidziane zostało</w:t>
      </w:r>
      <w:r w:rsidR="00EC4F62" w:rsidRPr="00C4755C">
        <w:rPr>
          <w:rFonts w:ascii="Times New Roman" w:hAnsi="Times New Roman" w:cs="Times New Roman"/>
        </w:rPr>
        <w:t xml:space="preserve"> przyznanie wierzycielowi </w:t>
      </w:r>
      <w:r w:rsidRPr="00C4755C">
        <w:rPr>
          <w:rFonts w:ascii="Times New Roman" w:hAnsi="Times New Roman" w:cs="Times New Roman"/>
        </w:rPr>
        <w:t>uprawnieni</w:t>
      </w:r>
      <w:r w:rsidR="00EC4F62" w:rsidRPr="00C4755C">
        <w:rPr>
          <w:rFonts w:ascii="Times New Roman" w:hAnsi="Times New Roman" w:cs="Times New Roman"/>
        </w:rPr>
        <w:t>a</w:t>
      </w:r>
      <w:r w:rsidRPr="00C4755C">
        <w:rPr>
          <w:rFonts w:ascii="Times New Roman" w:hAnsi="Times New Roman" w:cs="Times New Roman"/>
        </w:rPr>
        <w:t xml:space="preserve"> do odstąpienia od umowy albo wypowiedzenia umowy, jeżeli termin zapłaty w umowie jest rażąco wydłużony, bo przekracza aż 120 dni</w:t>
      </w:r>
      <w:r w:rsidR="00B57535" w:rsidRPr="00C4755C">
        <w:rPr>
          <w:rFonts w:ascii="Times New Roman" w:hAnsi="Times New Roman" w:cs="Times New Roman"/>
        </w:rPr>
        <w:t xml:space="preserve">. To </w:t>
      </w:r>
      <w:r w:rsidR="001147C0" w:rsidRPr="00C4755C">
        <w:rPr>
          <w:rFonts w:ascii="Times New Roman" w:hAnsi="Times New Roman" w:cs="Times New Roman"/>
        </w:rPr>
        <w:t xml:space="preserve">oznacza, że wskazane wyżej </w:t>
      </w:r>
      <w:r w:rsidR="00B57535" w:rsidRPr="00C4755C">
        <w:rPr>
          <w:rFonts w:ascii="Times New Roman" w:hAnsi="Times New Roman" w:cs="Times New Roman"/>
        </w:rPr>
        <w:t xml:space="preserve">uprawnienie będzie przysługiwało, gdy </w:t>
      </w:r>
      <w:r w:rsidRPr="00C4755C">
        <w:rPr>
          <w:rFonts w:ascii="Times New Roman" w:hAnsi="Times New Roman" w:cs="Times New Roman"/>
        </w:rPr>
        <w:t>termin zapłaty w umowie dwukrotnie przekracza termin uznawany przez prawodawc</w:t>
      </w:r>
      <w:r w:rsidR="0020719D" w:rsidRPr="00C4755C">
        <w:rPr>
          <w:rFonts w:ascii="Times New Roman" w:hAnsi="Times New Roman" w:cs="Times New Roman"/>
        </w:rPr>
        <w:t>ów</w:t>
      </w:r>
      <w:r w:rsidRPr="00C4755C">
        <w:rPr>
          <w:rFonts w:ascii="Times New Roman" w:hAnsi="Times New Roman" w:cs="Times New Roman"/>
        </w:rPr>
        <w:t xml:space="preserve"> </w:t>
      </w:r>
      <w:r w:rsidR="000D027D" w:rsidRPr="00C4755C">
        <w:rPr>
          <w:rFonts w:ascii="Times New Roman" w:hAnsi="Times New Roman" w:cs="Times New Roman"/>
        </w:rPr>
        <w:t>–</w:t>
      </w:r>
      <w:r w:rsidR="00483EB6" w:rsidRPr="00C4755C">
        <w:rPr>
          <w:rFonts w:ascii="Times New Roman" w:hAnsi="Times New Roman" w:cs="Times New Roman"/>
        </w:rPr>
        <w:t xml:space="preserve"> </w:t>
      </w:r>
      <w:r w:rsidRPr="00C4755C">
        <w:rPr>
          <w:rFonts w:ascii="Times New Roman" w:hAnsi="Times New Roman" w:cs="Times New Roman"/>
        </w:rPr>
        <w:t>polskiego i unijnego</w:t>
      </w:r>
      <w:r w:rsidR="0020719D" w:rsidRPr="00C4755C">
        <w:rPr>
          <w:rFonts w:ascii="Times New Roman" w:hAnsi="Times New Roman" w:cs="Times New Roman"/>
        </w:rPr>
        <w:t xml:space="preserve"> </w:t>
      </w:r>
      <w:r w:rsidR="009A5E56" w:rsidRPr="00C4755C">
        <w:rPr>
          <w:rFonts w:ascii="Times New Roman" w:hAnsi="Times New Roman" w:cs="Times New Roman"/>
        </w:rPr>
        <w:t>–</w:t>
      </w:r>
      <w:r w:rsidR="00483EB6" w:rsidRPr="00C4755C">
        <w:rPr>
          <w:rFonts w:ascii="Times New Roman" w:hAnsi="Times New Roman" w:cs="Times New Roman"/>
        </w:rPr>
        <w:t xml:space="preserve"> </w:t>
      </w:r>
      <w:r w:rsidR="0020719D" w:rsidRPr="00C4755C">
        <w:rPr>
          <w:rFonts w:ascii="Times New Roman" w:hAnsi="Times New Roman" w:cs="Times New Roman"/>
        </w:rPr>
        <w:t xml:space="preserve">za </w:t>
      </w:r>
      <w:r w:rsidR="00B57535" w:rsidRPr="00C4755C">
        <w:rPr>
          <w:rFonts w:ascii="Times New Roman" w:hAnsi="Times New Roman" w:cs="Times New Roman"/>
        </w:rPr>
        <w:t>termin maksymalny, nie wymagający szczególnego uzasad</w:t>
      </w:r>
      <w:r w:rsidR="009B2356" w:rsidRPr="00C4755C">
        <w:rPr>
          <w:rFonts w:ascii="Times New Roman" w:hAnsi="Times New Roman" w:cs="Times New Roman"/>
        </w:rPr>
        <w:t xml:space="preserve">nienia. </w:t>
      </w:r>
      <w:r w:rsidR="002968FF" w:rsidRPr="00C4755C">
        <w:rPr>
          <w:rFonts w:ascii="Times New Roman" w:hAnsi="Times New Roman" w:cs="Times New Roman"/>
        </w:rPr>
        <w:t xml:space="preserve">Wierzyciel uzyska uprawnienie do </w:t>
      </w:r>
      <w:r w:rsidR="00301865" w:rsidRPr="00C4755C">
        <w:rPr>
          <w:rFonts w:ascii="Times New Roman" w:hAnsi="Times New Roman" w:cs="Times New Roman"/>
        </w:rPr>
        <w:t xml:space="preserve">wypowiedzenia lub </w:t>
      </w:r>
      <w:r w:rsidR="009B2356" w:rsidRPr="00C4755C">
        <w:rPr>
          <w:rFonts w:ascii="Times New Roman" w:hAnsi="Times New Roman" w:cs="Times New Roman"/>
        </w:rPr>
        <w:t xml:space="preserve">odstąpienia </w:t>
      </w:r>
      <w:r w:rsidR="00301865" w:rsidRPr="00C4755C">
        <w:rPr>
          <w:rFonts w:ascii="Times New Roman" w:hAnsi="Times New Roman" w:cs="Times New Roman"/>
        </w:rPr>
        <w:t xml:space="preserve">od umowy </w:t>
      </w:r>
      <w:r w:rsidR="009B2356" w:rsidRPr="00C4755C">
        <w:rPr>
          <w:rFonts w:ascii="Times New Roman" w:hAnsi="Times New Roman" w:cs="Times New Roman"/>
        </w:rPr>
        <w:t>z</w:t>
      </w:r>
      <w:r w:rsidR="00584C51" w:rsidRPr="00C4755C">
        <w:rPr>
          <w:rFonts w:ascii="Times New Roman" w:hAnsi="Times New Roman" w:cs="Times New Roman"/>
        </w:rPr>
        <w:t xml:space="preserve"> </w:t>
      </w:r>
      <w:r w:rsidR="00B57535" w:rsidRPr="00C4755C">
        <w:rPr>
          <w:rFonts w:ascii="Times New Roman" w:hAnsi="Times New Roman" w:cs="Times New Roman"/>
        </w:rPr>
        <w:t>powodu nadmiernie długiego terminu z mocy ustawy</w:t>
      </w:r>
      <w:r w:rsidR="002968FF" w:rsidRPr="00C4755C">
        <w:rPr>
          <w:rFonts w:ascii="Times New Roman" w:hAnsi="Times New Roman" w:cs="Times New Roman"/>
        </w:rPr>
        <w:t xml:space="preserve">, jeżeli termin ten został określony z naruszeniem art. 7 ust. 2. </w:t>
      </w:r>
      <w:r w:rsidR="004505E6" w:rsidRPr="00C4755C">
        <w:rPr>
          <w:rFonts w:ascii="Times New Roman" w:hAnsi="Times New Roman" w:cs="Times New Roman"/>
        </w:rPr>
        <w:t>Wierzyciel będzie mógł, według swojego wyboru, odstąpić od całości umowy albo tylko w zakresie jej niewykonanej części</w:t>
      </w:r>
      <w:r w:rsidR="00A32389" w:rsidRPr="00C4755C">
        <w:rPr>
          <w:rFonts w:ascii="Times New Roman" w:hAnsi="Times New Roman" w:cs="Times New Roman"/>
        </w:rPr>
        <w:t xml:space="preserve"> </w:t>
      </w:r>
      <w:r w:rsidR="009A5E56" w:rsidRPr="00C4755C">
        <w:rPr>
          <w:rFonts w:ascii="Times New Roman" w:hAnsi="Times New Roman" w:cs="Times New Roman"/>
        </w:rPr>
        <w:t>–</w:t>
      </w:r>
      <w:r w:rsidR="004505E6" w:rsidRPr="00C4755C">
        <w:rPr>
          <w:rFonts w:ascii="Times New Roman" w:hAnsi="Times New Roman" w:cs="Times New Roman"/>
        </w:rPr>
        <w:t xml:space="preserve"> </w:t>
      </w:r>
      <w:r w:rsidR="00A32389" w:rsidRPr="00C4755C">
        <w:rPr>
          <w:rFonts w:ascii="Times New Roman" w:hAnsi="Times New Roman" w:cs="Times New Roman"/>
        </w:rPr>
        <w:t>w</w:t>
      </w:r>
      <w:r w:rsidR="004505E6" w:rsidRPr="00C4755C">
        <w:rPr>
          <w:rFonts w:ascii="Times New Roman" w:hAnsi="Times New Roman" w:cs="Times New Roman"/>
        </w:rPr>
        <w:t xml:space="preserve"> takim przypadku, odstą</w:t>
      </w:r>
      <w:r w:rsidR="00E760F6" w:rsidRPr="00C4755C">
        <w:rPr>
          <w:rFonts w:ascii="Times New Roman" w:hAnsi="Times New Roman" w:cs="Times New Roman"/>
        </w:rPr>
        <w:t>pienie nie będzie wiązało się z</w:t>
      </w:r>
      <w:r w:rsidR="00C4755C">
        <w:rPr>
          <w:rFonts w:ascii="Times New Roman" w:hAnsi="Times New Roman" w:cs="Times New Roman"/>
        </w:rPr>
        <w:t xml:space="preserve"> </w:t>
      </w:r>
      <w:r w:rsidR="004505E6" w:rsidRPr="00C4755C">
        <w:rPr>
          <w:rFonts w:ascii="Times New Roman" w:hAnsi="Times New Roman" w:cs="Times New Roman"/>
        </w:rPr>
        <w:t>obowiązkiem zwrotu w naturze wykonanych świadczeń.</w:t>
      </w:r>
    </w:p>
    <w:p w14:paraId="0C4FAB63" w14:textId="7985A529" w:rsidR="00AC5AA1" w:rsidRPr="00C4755C" w:rsidRDefault="00AC5AA1"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Oczywiście, każdorazowo decyzję o zakończeniu umowy </w:t>
      </w:r>
      <w:r w:rsidR="00CF7298" w:rsidRPr="00C4755C">
        <w:rPr>
          <w:rFonts w:ascii="Times New Roman" w:hAnsi="Times New Roman" w:cs="Times New Roman"/>
        </w:rPr>
        <w:t xml:space="preserve">będzie </w:t>
      </w:r>
      <w:r w:rsidRPr="00C4755C">
        <w:rPr>
          <w:rFonts w:ascii="Times New Roman" w:hAnsi="Times New Roman" w:cs="Times New Roman"/>
        </w:rPr>
        <w:t xml:space="preserve">autonomicznie podejmował wierzyciel. Jeżeli transakcja handlowa mimo wszystko jest dla niego opłacalna, z pewnością nie będzie sięgał po uprawnienie przewidziane w art. </w:t>
      </w:r>
      <w:r w:rsidR="003C1E8D" w:rsidRPr="00C4755C">
        <w:rPr>
          <w:rFonts w:ascii="Times New Roman" w:hAnsi="Times New Roman" w:cs="Times New Roman"/>
        </w:rPr>
        <w:t xml:space="preserve">7 </w:t>
      </w:r>
      <w:r w:rsidRPr="00C4755C">
        <w:rPr>
          <w:rFonts w:ascii="Times New Roman" w:hAnsi="Times New Roman" w:cs="Times New Roman"/>
        </w:rPr>
        <w:t>ust.</w:t>
      </w:r>
      <w:r w:rsidR="00F1745F">
        <w:rPr>
          <w:rFonts w:ascii="Times New Roman" w:hAnsi="Times New Roman" w:cs="Times New Roman"/>
        </w:rPr>
        <w:t> </w:t>
      </w:r>
      <w:r w:rsidR="003C1E8D" w:rsidRPr="00C4755C">
        <w:rPr>
          <w:rFonts w:ascii="Times New Roman" w:hAnsi="Times New Roman" w:cs="Times New Roman"/>
        </w:rPr>
        <w:t xml:space="preserve">3a </w:t>
      </w:r>
      <w:r w:rsidRPr="00C4755C">
        <w:rPr>
          <w:rFonts w:ascii="Times New Roman" w:hAnsi="Times New Roman" w:cs="Times New Roman"/>
        </w:rPr>
        <w:t>ustawy. Nie ma zatem podstaw do obaw, że przepis</w:t>
      </w:r>
      <w:r w:rsidR="00EA3D15" w:rsidRPr="00C4755C">
        <w:rPr>
          <w:rFonts w:ascii="Times New Roman" w:hAnsi="Times New Roman" w:cs="Times New Roman"/>
        </w:rPr>
        <w:t xml:space="preserve"> ten</w:t>
      </w:r>
      <w:r w:rsidRPr="00C4755C">
        <w:rPr>
          <w:rFonts w:ascii="Times New Roman" w:hAnsi="Times New Roman" w:cs="Times New Roman"/>
        </w:rPr>
        <w:t xml:space="preserve"> będzie nadużywany. Jednocześnie projektowana regulacja nie odbiera dłużnikowi możliwości obrony prawidłowości ustalenia długiego terminu zapłaty w umowie, chociaż – zgodnie z projektowanym art. 11a ust. 2 – wymagać</w:t>
      </w:r>
      <w:r w:rsidR="00483EB6" w:rsidRPr="00C4755C">
        <w:rPr>
          <w:rFonts w:ascii="Times New Roman" w:hAnsi="Times New Roman" w:cs="Times New Roman"/>
        </w:rPr>
        <w:t xml:space="preserve"> to</w:t>
      </w:r>
      <w:r w:rsidRPr="00C4755C">
        <w:rPr>
          <w:rFonts w:ascii="Times New Roman" w:hAnsi="Times New Roman" w:cs="Times New Roman"/>
        </w:rPr>
        <w:t xml:space="preserve"> będzie od niego wykazania swoich racji.</w:t>
      </w:r>
    </w:p>
    <w:p w14:paraId="170E43A5" w14:textId="5E100719" w:rsidR="001078DE" w:rsidRPr="00C4755C" w:rsidRDefault="001078DE"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Sam moment z</w:t>
      </w:r>
      <w:r w:rsidR="00B408AB" w:rsidRPr="00C4755C">
        <w:rPr>
          <w:rFonts w:ascii="Times New Roman" w:hAnsi="Times New Roman" w:cs="Times New Roman"/>
        </w:rPr>
        <w:t>ł</w:t>
      </w:r>
      <w:r w:rsidRPr="00C4755C">
        <w:rPr>
          <w:rFonts w:ascii="Times New Roman" w:hAnsi="Times New Roman" w:cs="Times New Roman"/>
        </w:rPr>
        <w:t>o</w:t>
      </w:r>
      <w:r w:rsidR="001C28D6" w:rsidRPr="00C4755C">
        <w:rPr>
          <w:rFonts w:ascii="Times New Roman" w:hAnsi="Times New Roman" w:cs="Times New Roman"/>
        </w:rPr>
        <w:t>ż</w:t>
      </w:r>
      <w:r w:rsidRPr="00C4755C">
        <w:rPr>
          <w:rFonts w:ascii="Times New Roman" w:hAnsi="Times New Roman" w:cs="Times New Roman"/>
        </w:rPr>
        <w:t>enia oświadczenia o wypowiedzeniu należy ustalać zgodnie z regulacją art. 61 K</w:t>
      </w:r>
      <w:r w:rsidR="00747744" w:rsidRPr="00C4755C">
        <w:rPr>
          <w:rFonts w:ascii="Times New Roman" w:hAnsi="Times New Roman" w:cs="Times New Roman"/>
        </w:rPr>
        <w:t>odeksu cywilnego</w:t>
      </w:r>
      <w:r w:rsidRPr="00C4755C">
        <w:rPr>
          <w:rFonts w:ascii="Times New Roman" w:hAnsi="Times New Roman" w:cs="Times New Roman"/>
        </w:rPr>
        <w:t>.</w:t>
      </w:r>
    </w:p>
    <w:p w14:paraId="73BABA06" w14:textId="6F958E5C" w:rsidR="00C362B2" w:rsidRPr="00C4755C" w:rsidRDefault="007969E2" w:rsidP="00C4755C">
      <w:pPr>
        <w:pStyle w:val="Default"/>
        <w:spacing w:before="120" w:line="360" w:lineRule="auto"/>
        <w:jc w:val="both"/>
        <w:rPr>
          <w:rFonts w:ascii="Times New Roman" w:hAnsi="Times New Roman" w:cs="Times New Roman"/>
        </w:rPr>
      </w:pPr>
      <w:r w:rsidRPr="00C4755C">
        <w:rPr>
          <w:rFonts w:ascii="Times New Roman" w:hAnsi="Times New Roman" w:cs="Times New Roman"/>
        </w:rPr>
        <w:t xml:space="preserve">Projektowany przepis </w:t>
      </w:r>
      <w:r w:rsidR="009F46A4" w:rsidRPr="00C4755C">
        <w:rPr>
          <w:rFonts w:ascii="Times New Roman" w:hAnsi="Times New Roman" w:cs="Times New Roman"/>
        </w:rPr>
        <w:t xml:space="preserve">art. </w:t>
      </w:r>
      <w:r w:rsidR="0036291E" w:rsidRPr="00C4755C">
        <w:rPr>
          <w:rFonts w:ascii="Times New Roman" w:hAnsi="Times New Roman" w:cs="Times New Roman"/>
        </w:rPr>
        <w:t xml:space="preserve">7 </w:t>
      </w:r>
      <w:r w:rsidR="009F46A4" w:rsidRPr="00C4755C">
        <w:rPr>
          <w:rFonts w:ascii="Times New Roman" w:hAnsi="Times New Roman" w:cs="Times New Roman"/>
        </w:rPr>
        <w:t>ust. 3</w:t>
      </w:r>
      <w:r w:rsidR="00300BE4" w:rsidRPr="00C4755C">
        <w:rPr>
          <w:rFonts w:ascii="Times New Roman" w:hAnsi="Times New Roman" w:cs="Times New Roman"/>
        </w:rPr>
        <w:t>b</w:t>
      </w:r>
      <w:r w:rsidR="009F46A4" w:rsidRPr="00C4755C">
        <w:rPr>
          <w:rFonts w:ascii="Times New Roman" w:hAnsi="Times New Roman" w:cs="Times New Roman"/>
        </w:rPr>
        <w:t xml:space="preserve"> dotycz</w:t>
      </w:r>
      <w:r w:rsidRPr="00C4755C">
        <w:rPr>
          <w:rFonts w:ascii="Times New Roman" w:hAnsi="Times New Roman" w:cs="Times New Roman"/>
        </w:rPr>
        <w:t>y</w:t>
      </w:r>
      <w:r w:rsidR="009F46A4" w:rsidRPr="00C4755C">
        <w:rPr>
          <w:rFonts w:ascii="Times New Roman" w:hAnsi="Times New Roman" w:cs="Times New Roman"/>
        </w:rPr>
        <w:t xml:space="preserve"> rozliczeń mi</w:t>
      </w:r>
      <w:r w:rsidR="00367CF1" w:rsidRPr="00C4755C">
        <w:rPr>
          <w:rFonts w:ascii="Times New Roman" w:hAnsi="Times New Roman" w:cs="Times New Roman"/>
        </w:rPr>
        <w:t>ę</w:t>
      </w:r>
      <w:r w:rsidR="009F46A4" w:rsidRPr="00C4755C">
        <w:rPr>
          <w:rFonts w:ascii="Times New Roman" w:hAnsi="Times New Roman" w:cs="Times New Roman"/>
        </w:rPr>
        <w:t xml:space="preserve">dzy stronami po skorzystaniu wierzyciela z uprawnienia do wypowiedzenia umowy. W myśl </w:t>
      </w:r>
      <w:r w:rsidRPr="00C4755C">
        <w:rPr>
          <w:rFonts w:ascii="Times New Roman" w:hAnsi="Times New Roman" w:cs="Times New Roman"/>
        </w:rPr>
        <w:t>tego przepisu</w:t>
      </w:r>
      <w:r w:rsidR="009F46A4" w:rsidRPr="00C4755C">
        <w:rPr>
          <w:rFonts w:ascii="Times New Roman" w:hAnsi="Times New Roman" w:cs="Times New Roman"/>
        </w:rPr>
        <w:t xml:space="preserve">, należności przysługujące wierzycielowi od dłużnika z tytułu już dostarczonych towarów lub wykonanych usług staną się wymagalne w terminie </w:t>
      </w:r>
      <w:r w:rsidR="002A2822" w:rsidRPr="00C4755C">
        <w:rPr>
          <w:rFonts w:ascii="Times New Roman" w:hAnsi="Times New Roman" w:cs="Times New Roman"/>
        </w:rPr>
        <w:t xml:space="preserve">siedmiu </w:t>
      </w:r>
      <w:r w:rsidR="009F46A4" w:rsidRPr="00C4755C">
        <w:rPr>
          <w:rFonts w:ascii="Times New Roman" w:hAnsi="Times New Roman" w:cs="Times New Roman"/>
        </w:rPr>
        <w:t>dni od dnia wypowiedzeni</w:t>
      </w:r>
      <w:r w:rsidRPr="00C4755C">
        <w:rPr>
          <w:rFonts w:ascii="Times New Roman" w:hAnsi="Times New Roman" w:cs="Times New Roman"/>
        </w:rPr>
        <w:t>a umowy</w:t>
      </w:r>
      <w:r w:rsidR="009F46A4" w:rsidRPr="00C4755C">
        <w:rPr>
          <w:rFonts w:ascii="Times New Roman" w:hAnsi="Times New Roman" w:cs="Times New Roman"/>
        </w:rPr>
        <w:t>. Taki przepis reguluje najbardziej pilną kwestię, jaka pojawia się na tle decyzji wierzyciela – tzn. płatność za już wykonan</w:t>
      </w:r>
      <w:r w:rsidR="008F0EBF" w:rsidRPr="00C4755C">
        <w:rPr>
          <w:rFonts w:ascii="Times New Roman" w:hAnsi="Times New Roman" w:cs="Times New Roman"/>
        </w:rPr>
        <w:t>ą</w:t>
      </w:r>
      <w:r w:rsidR="009F46A4" w:rsidRPr="00C4755C">
        <w:rPr>
          <w:rFonts w:ascii="Times New Roman" w:hAnsi="Times New Roman" w:cs="Times New Roman"/>
        </w:rPr>
        <w:t xml:space="preserve"> część umowy. </w:t>
      </w:r>
      <w:r w:rsidR="00F6710E" w:rsidRPr="00C4755C">
        <w:rPr>
          <w:rFonts w:ascii="Times New Roman" w:hAnsi="Times New Roman" w:cs="Times New Roman"/>
        </w:rPr>
        <w:t>Jeżeli wierzyciel nie otrzyma należności w tym terminie, przysługują mu odsetki</w:t>
      </w:r>
      <w:r w:rsidR="00F3246B" w:rsidRPr="00C4755C">
        <w:rPr>
          <w:rFonts w:ascii="Times New Roman" w:hAnsi="Times New Roman" w:cs="Times New Roman"/>
        </w:rPr>
        <w:t xml:space="preserve"> za opóźnienia w</w:t>
      </w:r>
      <w:r w:rsidR="00C4755C">
        <w:rPr>
          <w:rFonts w:ascii="Times New Roman" w:hAnsi="Times New Roman" w:cs="Times New Roman"/>
        </w:rPr>
        <w:t xml:space="preserve"> </w:t>
      </w:r>
      <w:r w:rsidR="00F6710E" w:rsidRPr="00C4755C">
        <w:rPr>
          <w:rFonts w:ascii="Times New Roman" w:hAnsi="Times New Roman" w:cs="Times New Roman"/>
        </w:rPr>
        <w:t>transakcjach handlowych (art. 7 ust.</w:t>
      </w:r>
      <w:r w:rsidR="00AC14A9">
        <w:rPr>
          <w:rFonts w:ascii="Times New Roman" w:hAnsi="Times New Roman" w:cs="Times New Roman"/>
        </w:rPr>
        <w:t xml:space="preserve"> </w:t>
      </w:r>
      <w:r w:rsidR="00F6710E" w:rsidRPr="00C4755C">
        <w:rPr>
          <w:rFonts w:ascii="Times New Roman" w:hAnsi="Times New Roman" w:cs="Times New Roman"/>
        </w:rPr>
        <w:t>1). W pozostałym zakresie stosuje się przepisy</w:t>
      </w:r>
      <w:r w:rsidR="00353BAA" w:rsidRPr="00C4755C">
        <w:rPr>
          <w:rFonts w:ascii="Times New Roman" w:hAnsi="Times New Roman" w:cs="Times New Roman"/>
        </w:rPr>
        <w:t xml:space="preserve"> Kodeks</w:t>
      </w:r>
      <w:r w:rsidR="00F6710E" w:rsidRPr="00C4755C">
        <w:rPr>
          <w:rFonts w:ascii="Times New Roman" w:hAnsi="Times New Roman" w:cs="Times New Roman"/>
        </w:rPr>
        <w:t>u</w:t>
      </w:r>
      <w:r w:rsidR="00353BAA" w:rsidRPr="00C4755C">
        <w:rPr>
          <w:rFonts w:ascii="Times New Roman" w:hAnsi="Times New Roman" w:cs="Times New Roman"/>
        </w:rPr>
        <w:t xml:space="preserve"> cywiln</w:t>
      </w:r>
      <w:r w:rsidR="00F6710E" w:rsidRPr="00C4755C">
        <w:rPr>
          <w:rFonts w:ascii="Times New Roman" w:hAnsi="Times New Roman" w:cs="Times New Roman"/>
        </w:rPr>
        <w:t>ego regulujące instytucję odstąpienia od umowy</w:t>
      </w:r>
      <w:r w:rsidR="00353BAA" w:rsidRPr="00C4755C">
        <w:rPr>
          <w:rFonts w:ascii="Times New Roman" w:hAnsi="Times New Roman" w:cs="Times New Roman"/>
        </w:rPr>
        <w:t>.</w:t>
      </w:r>
    </w:p>
    <w:p w14:paraId="48E66A54" w14:textId="171E0265" w:rsidR="00310A3C" w:rsidRPr="00C4755C" w:rsidRDefault="00B159F7" w:rsidP="00C4755C">
      <w:pPr>
        <w:spacing w:before="120"/>
        <w:jc w:val="both"/>
        <w:rPr>
          <w:rFonts w:cs="Times New Roman"/>
          <w:b/>
          <w:i/>
          <w:szCs w:val="24"/>
        </w:rPr>
      </w:pPr>
      <w:r w:rsidRPr="00C4755C">
        <w:rPr>
          <w:rFonts w:cs="Times New Roman"/>
          <w:b/>
          <w:i/>
          <w:szCs w:val="24"/>
        </w:rPr>
        <w:t>10</w:t>
      </w:r>
      <w:r w:rsidR="00300BE4" w:rsidRPr="00C4755C">
        <w:rPr>
          <w:rFonts w:cs="Times New Roman"/>
          <w:b/>
          <w:i/>
          <w:szCs w:val="24"/>
        </w:rPr>
        <w:t xml:space="preserve">) </w:t>
      </w:r>
      <w:r w:rsidR="00310A3C" w:rsidRPr="00C4755C">
        <w:rPr>
          <w:rFonts w:cs="Times New Roman"/>
          <w:b/>
          <w:i/>
          <w:szCs w:val="24"/>
        </w:rPr>
        <w:t>Publikacja danych o praktykach płatniczych największych dłużników</w:t>
      </w:r>
      <w:r w:rsidR="003826AD" w:rsidRPr="00C4755C">
        <w:rPr>
          <w:rFonts w:cs="Times New Roman"/>
          <w:b/>
          <w:i/>
          <w:szCs w:val="24"/>
        </w:rPr>
        <w:t xml:space="preserve"> (art. 13a</w:t>
      </w:r>
      <w:r w:rsidR="00F1745F">
        <w:rPr>
          <w:rFonts w:cs="Times New Roman"/>
          <w:b/>
          <w:i/>
          <w:szCs w:val="24"/>
        </w:rPr>
        <w:t xml:space="preserve"> i art. </w:t>
      </w:r>
      <w:r w:rsidR="00A94194" w:rsidRPr="00C4755C">
        <w:rPr>
          <w:rFonts w:cs="Times New Roman"/>
          <w:b/>
          <w:i/>
          <w:szCs w:val="24"/>
        </w:rPr>
        <w:t>13c ust. 5</w:t>
      </w:r>
      <w:r w:rsidR="003826AD" w:rsidRPr="00C4755C">
        <w:rPr>
          <w:rFonts w:cs="Times New Roman"/>
          <w:b/>
          <w:i/>
          <w:szCs w:val="24"/>
        </w:rPr>
        <w:t>)</w:t>
      </w:r>
    </w:p>
    <w:p w14:paraId="63A56DD6" w14:textId="52C04CF7" w:rsidR="00925994" w:rsidRPr="00C4755C" w:rsidRDefault="008A288E"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Znacząca skala</w:t>
      </w:r>
      <w:r w:rsidR="003826AD" w:rsidRPr="00C4755C">
        <w:rPr>
          <w:rFonts w:ascii="Times New Roman" w:hAnsi="Times New Roman" w:cs="Times New Roman"/>
          <w:szCs w:val="24"/>
        </w:rPr>
        <w:t xml:space="preserve"> wielu niekorzystnych zjawisk społecznych</w:t>
      </w:r>
      <w:r w:rsidRPr="00C4755C">
        <w:rPr>
          <w:rFonts w:ascii="Times New Roman" w:hAnsi="Times New Roman" w:cs="Times New Roman"/>
          <w:szCs w:val="24"/>
        </w:rPr>
        <w:t xml:space="preserve"> i gospodarczych</w:t>
      </w:r>
      <w:r w:rsidR="009B2356" w:rsidRPr="00C4755C">
        <w:rPr>
          <w:rFonts w:ascii="Times New Roman" w:hAnsi="Times New Roman" w:cs="Times New Roman"/>
          <w:szCs w:val="24"/>
        </w:rPr>
        <w:t xml:space="preserve"> wynika z</w:t>
      </w:r>
      <w:r w:rsidR="00C4755C">
        <w:rPr>
          <w:rFonts w:ascii="Times New Roman" w:hAnsi="Times New Roman" w:cs="Times New Roman"/>
          <w:szCs w:val="24"/>
        </w:rPr>
        <w:t xml:space="preserve"> </w:t>
      </w:r>
      <w:r w:rsidR="003826AD" w:rsidRPr="00C4755C">
        <w:rPr>
          <w:rFonts w:ascii="Times New Roman" w:hAnsi="Times New Roman" w:cs="Times New Roman"/>
          <w:szCs w:val="24"/>
        </w:rPr>
        <w:t xml:space="preserve">możliwości utrzymania ich w tajemnicy. </w:t>
      </w:r>
      <w:r w:rsidR="00DF7CCF" w:rsidRPr="00C4755C">
        <w:rPr>
          <w:rFonts w:ascii="Times New Roman" w:hAnsi="Times New Roman" w:cs="Times New Roman"/>
          <w:szCs w:val="24"/>
        </w:rPr>
        <w:t>Z</w:t>
      </w:r>
      <w:r w:rsidR="00BC74E7" w:rsidRPr="00C4755C">
        <w:rPr>
          <w:rFonts w:ascii="Times New Roman" w:hAnsi="Times New Roman" w:cs="Times New Roman"/>
          <w:szCs w:val="24"/>
        </w:rPr>
        <w:t xml:space="preserve"> kolei z</w:t>
      </w:r>
      <w:r w:rsidR="00DF7CCF" w:rsidRPr="00C4755C">
        <w:rPr>
          <w:rFonts w:ascii="Times New Roman" w:hAnsi="Times New Roman" w:cs="Times New Roman"/>
          <w:szCs w:val="24"/>
        </w:rPr>
        <w:t>agwarantowanie jawności określonych</w:t>
      </w:r>
      <w:r w:rsidR="003826AD" w:rsidRPr="00C4755C">
        <w:rPr>
          <w:rFonts w:ascii="Times New Roman" w:hAnsi="Times New Roman" w:cs="Times New Roman"/>
          <w:szCs w:val="24"/>
        </w:rPr>
        <w:t xml:space="preserve"> praktyk zmniejsza skłonność do zachowań nagannych. </w:t>
      </w:r>
      <w:r w:rsidR="002057F4" w:rsidRPr="00C4755C">
        <w:rPr>
          <w:rFonts w:ascii="Times New Roman" w:hAnsi="Times New Roman" w:cs="Times New Roman"/>
          <w:szCs w:val="24"/>
        </w:rPr>
        <w:t>W związku z powyższym proponuje się, aby najwięksi dłużnicy prywatni zobligowani byli do ujawniania swoich praktyk w</w:t>
      </w:r>
      <w:r w:rsidR="00C4755C">
        <w:rPr>
          <w:rFonts w:ascii="Times New Roman" w:hAnsi="Times New Roman" w:cs="Times New Roman"/>
          <w:szCs w:val="24"/>
        </w:rPr>
        <w:t xml:space="preserve"> </w:t>
      </w:r>
      <w:r w:rsidR="002057F4" w:rsidRPr="00C4755C">
        <w:rPr>
          <w:rFonts w:ascii="Times New Roman" w:hAnsi="Times New Roman" w:cs="Times New Roman"/>
          <w:szCs w:val="24"/>
        </w:rPr>
        <w:t xml:space="preserve">zakresie stosowanych terminów zapłaty </w:t>
      </w:r>
      <w:r w:rsidR="007833FD" w:rsidRPr="00C4755C">
        <w:rPr>
          <w:rFonts w:ascii="Times New Roman" w:hAnsi="Times New Roman" w:cs="Times New Roman"/>
          <w:szCs w:val="24"/>
        </w:rPr>
        <w:t>(art. 13a)</w:t>
      </w:r>
      <w:r w:rsidR="002057F4" w:rsidRPr="00C4755C">
        <w:rPr>
          <w:rFonts w:ascii="Times New Roman" w:hAnsi="Times New Roman" w:cs="Times New Roman"/>
          <w:szCs w:val="24"/>
        </w:rPr>
        <w:t>.</w:t>
      </w:r>
      <w:r w:rsidR="00901B03" w:rsidRPr="00C4755C">
        <w:rPr>
          <w:rFonts w:ascii="Times New Roman" w:hAnsi="Times New Roman" w:cs="Times New Roman"/>
          <w:szCs w:val="24"/>
        </w:rPr>
        <w:t xml:space="preserve"> </w:t>
      </w:r>
      <w:r w:rsidRPr="00C4755C">
        <w:rPr>
          <w:rFonts w:ascii="Times New Roman" w:hAnsi="Times New Roman" w:cs="Times New Roman"/>
          <w:szCs w:val="24"/>
        </w:rPr>
        <w:t>Zgodn</w:t>
      </w:r>
      <w:r w:rsidR="009B2356" w:rsidRPr="00C4755C">
        <w:rPr>
          <w:rFonts w:ascii="Times New Roman" w:hAnsi="Times New Roman" w:cs="Times New Roman"/>
          <w:szCs w:val="24"/>
        </w:rPr>
        <w:t>ie z</w:t>
      </w:r>
      <w:r w:rsidR="00584C51" w:rsidRPr="00C4755C">
        <w:rPr>
          <w:rFonts w:ascii="Times New Roman" w:hAnsi="Times New Roman" w:cs="Times New Roman"/>
          <w:szCs w:val="24"/>
        </w:rPr>
        <w:t xml:space="preserve"> </w:t>
      </w:r>
      <w:r w:rsidRPr="00C4755C">
        <w:rPr>
          <w:rFonts w:ascii="Times New Roman" w:hAnsi="Times New Roman" w:cs="Times New Roman"/>
          <w:szCs w:val="24"/>
        </w:rPr>
        <w:t>przedłożonym projektem, d</w:t>
      </w:r>
      <w:r w:rsidR="00901B03" w:rsidRPr="00C4755C">
        <w:rPr>
          <w:rFonts w:ascii="Times New Roman" w:hAnsi="Times New Roman" w:cs="Times New Roman"/>
          <w:szCs w:val="24"/>
        </w:rPr>
        <w:t xml:space="preserve">o </w:t>
      </w:r>
      <w:r w:rsidR="0036103C" w:rsidRPr="00C4755C">
        <w:rPr>
          <w:rFonts w:ascii="Times New Roman" w:hAnsi="Times New Roman" w:cs="Times New Roman"/>
          <w:szCs w:val="24"/>
        </w:rPr>
        <w:t xml:space="preserve">przekazywania do </w:t>
      </w:r>
      <w:r w:rsidR="00901B03" w:rsidRPr="00C4755C">
        <w:rPr>
          <w:rFonts w:ascii="Times New Roman" w:hAnsi="Times New Roman" w:cs="Times New Roman"/>
          <w:szCs w:val="24"/>
        </w:rPr>
        <w:t>p</w:t>
      </w:r>
      <w:r w:rsidR="0036103C" w:rsidRPr="00C4755C">
        <w:rPr>
          <w:rFonts w:ascii="Times New Roman" w:hAnsi="Times New Roman" w:cs="Times New Roman"/>
          <w:szCs w:val="24"/>
        </w:rPr>
        <w:t>ublikacji</w:t>
      </w:r>
      <w:r w:rsidR="00901B03" w:rsidRPr="00C4755C">
        <w:rPr>
          <w:rFonts w:ascii="Times New Roman" w:hAnsi="Times New Roman" w:cs="Times New Roman"/>
          <w:szCs w:val="24"/>
        </w:rPr>
        <w:t xml:space="preserve"> sprawozdań zobowiązani </w:t>
      </w:r>
      <w:r w:rsidR="00925994" w:rsidRPr="00C4755C">
        <w:rPr>
          <w:rFonts w:ascii="Times New Roman" w:hAnsi="Times New Roman" w:cs="Times New Roman"/>
          <w:szCs w:val="24"/>
        </w:rPr>
        <w:t xml:space="preserve">są </w:t>
      </w:r>
      <w:r w:rsidR="00CF7122" w:rsidRPr="00C4755C">
        <w:rPr>
          <w:rFonts w:ascii="Times New Roman" w:hAnsi="Times New Roman" w:cs="Times New Roman"/>
          <w:szCs w:val="24"/>
        </w:rPr>
        <w:t>kierownicy podmiotów</w:t>
      </w:r>
      <w:r w:rsidR="00483EB6" w:rsidRPr="00C4755C">
        <w:rPr>
          <w:rFonts w:ascii="Times New Roman" w:hAnsi="Times New Roman" w:cs="Times New Roman"/>
          <w:szCs w:val="24"/>
        </w:rPr>
        <w:t>,</w:t>
      </w:r>
      <w:r w:rsidR="00EA3D15" w:rsidRPr="00C4755C">
        <w:rPr>
          <w:rFonts w:ascii="Times New Roman" w:hAnsi="Times New Roman" w:cs="Times New Roman"/>
          <w:szCs w:val="24"/>
        </w:rPr>
        <w:t xml:space="preserve"> </w:t>
      </w:r>
      <w:r w:rsidR="00F3246B" w:rsidRPr="00C4755C">
        <w:rPr>
          <w:rFonts w:ascii="Times New Roman" w:hAnsi="Times New Roman" w:cs="Times New Roman"/>
          <w:szCs w:val="24"/>
        </w:rPr>
        <w:t>o</w:t>
      </w:r>
      <w:r w:rsidR="00C4755C">
        <w:rPr>
          <w:rFonts w:ascii="Times New Roman" w:hAnsi="Times New Roman" w:cs="Times New Roman"/>
          <w:szCs w:val="24"/>
        </w:rPr>
        <w:t xml:space="preserve"> </w:t>
      </w:r>
      <w:r w:rsidR="00901B03" w:rsidRPr="00C4755C">
        <w:rPr>
          <w:rFonts w:ascii="Times New Roman" w:hAnsi="Times New Roman" w:cs="Times New Roman"/>
          <w:szCs w:val="24"/>
        </w:rPr>
        <w:t xml:space="preserve">których mowa w art. 27b ust. </w:t>
      </w:r>
      <w:r w:rsidR="004D2FBC" w:rsidRPr="00C4755C">
        <w:rPr>
          <w:rFonts w:ascii="Times New Roman" w:hAnsi="Times New Roman" w:cs="Times New Roman"/>
          <w:szCs w:val="24"/>
        </w:rPr>
        <w:t>2</w:t>
      </w:r>
      <w:r w:rsidR="00E669C0" w:rsidRPr="00C4755C">
        <w:rPr>
          <w:rStyle w:val="Odwoanieprzypisudolnego"/>
          <w:rFonts w:ascii="Times New Roman" w:hAnsi="Times New Roman"/>
          <w:szCs w:val="24"/>
        </w:rPr>
        <w:footnoteReference w:id="29"/>
      </w:r>
      <w:r w:rsidR="00312E96" w:rsidRPr="00C4755C">
        <w:rPr>
          <w:rFonts w:ascii="Times New Roman" w:hAnsi="Times New Roman" w:cs="Times New Roman"/>
          <w:szCs w:val="24"/>
          <w:vertAlign w:val="superscript"/>
        </w:rPr>
        <w:t>)</w:t>
      </w:r>
      <w:r w:rsidR="00901B03" w:rsidRPr="00C4755C">
        <w:rPr>
          <w:rFonts w:ascii="Times New Roman" w:hAnsi="Times New Roman" w:cs="Times New Roman"/>
          <w:szCs w:val="24"/>
        </w:rPr>
        <w:t xml:space="preserve"> us</w:t>
      </w:r>
      <w:r w:rsidR="003E61DA" w:rsidRPr="00C4755C">
        <w:rPr>
          <w:rFonts w:ascii="Times New Roman" w:hAnsi="Times New Roman" w:cs="Times New Roman"/>
          <w:szCs w:val="24"/>
        </w:rPr>
        <w:t>tawy z dnia 15 lutego 1992 r. o</w:t>
      </w:r>
      <w:r w:rsidR="00584C51" w:rsidRPr="00C4755C">
        <w:rPr>
          <w:rFonts w:ascii="Times New Roman" w:hAnsi="Times New Roman" w:cs="Times New Roman"/>
          <w:szCs w:val="24"/>
        </w:rPr>
        <w:t xml:space="preserve"> </w:t>
      </w:r>
      <w:r w:rsidR="00901B03" w:rsidRPr="00C4755C">
        <w:rPr>
          <w:rFonts w:ascii="Times New Roman" w:hAnsi="Times New Roman" w:cs="Times New Roman"/>
          <w:szCs w:val="24"/>
        </w:rPr>
        <w:t>podatku dochodowym od osób prawnych</w:t>
      </w:r>
      <w:r w:rsidR="001F42D7" w:rsidRPr="00C4755C">
        <w:rPr>
          <w:rFonts w:ascii="Times New Roman" w:hAnsi="Times New Roman" w:cs="Times New Roman"/>
          <w:szCs w:val="24"/>
        </w:rPr>
        <w:t>.</w:t>
      </w:r>
      <w:r w:rsidR="000B4AE2" w:rsidRPr="00C4755C">
        <w:rPr>
          <w:rFonts w:ascii="Times New Roman" w:hAnsi="Times New Roman" w:cs="Times New Roman"/>
          <w:szCs w:val="24"/>
        </w:rPr>
        <w:t xml:space="preserve"> </w:t>
      </w:r>
      <w:r w:rsidR="00925994" w:rsidRPr="00C4755C">
        <w:rPr>
          <w:rFonts w:ascii="Times New Roman" w:hAnsi="Times New Roman" w:cs="Times New Roman"/>
          <w:szCs w:val="24"/>
        </w:rPr>
        <w:t>W przypadku podatkowej grupy kapitałowej sprawozdanie powinien przekazywać kierownik każdej ze spółek wchodzącej w jej skład.</w:t>
      </w:r>
    </w:p>
    <w:p w14:paraId="2DCB3A68" w14:textId="657204A6" w:rsidR="000B4AE2" w:rsidRPr="00C4755C" w:rsidRDefault="000B4AE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 celu uniknięcia wątpliwości interpretacyjnych </w:t>
      </w:r>
      <w:r w:rsidR="00925994" w:rsidRPr="00C4755C">
        <w:rPr>
          <w:rFonts w:ascii="Times New Roman" w:hAnsi="Times New Roman" w:cs="Times New Roman"/>
          <w:szCs w:val="24"/>
        </w:rPr>
        <w:t>pojęcie kierownika podmiotu zostało zdefiniowane. Należy przez nie rozumieć członka zarządu lub innego organu zarządzającego, a jeżeli organ jest wieloosobowy – członków tego organu. W przypadku spółki komandytowo-akcyjnej status kierownika podmiotu przysługuje komplementariuszom prowadzącym sprawy spółki. Za kierownika jednostki uważa się również likwidatora, a także syndyka lub zarządcę ustanowionego w po</w:t>
      </w:r>
      <w:r w:rsidR="00747744" w:rsidRPr="00C4755C">
        <w:rPr>
          <w:rFonts w:ascii="Times New Roman" w:hAnsi="Times New Roman" w:cs="Times New Roman"/>
          <w:szCs w:val="24"/>
        </w:rPr>
        <w:t>stępowaniu restrukturyzacyjnym.</w:t>
      </w:r>
    </w:p>
    <w:p w14:paraId="7CACACE0" w14:textId="009FE692" w:rsidR="00D97D0C" w:rsidRPr="00C4755C" w:rsidRDefault="00BC74E7"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Wzorem rozwiązań znanych praw</w:t>
      </w:r>
      <w:r w:rsidR="007E6FAA" w:rsidRPr="00C4755C">
        <w:rPr>
          <w:rFonts w:ascii="Times New Roman" w:hAnsi="Times New Roman" w:cs="Times New Roman"/>
          <w:szCs w:val="24"/>
        </w:rPr>
        <w:t>u</w:t>
      </w:r>
      <w:r w:rsidRPr="00C4755C">
        <w:rPr>
          <w:rFonts w:ascii="Times New Roman" w:hAnsi="Times New Roman" w:cs="Times New Roman"/>
          <w:szCs w:val="24"/>
        </w:rPr>
        <w:t xml:space="preserve"> brytyjskiemu n</w:t>
      </w:r>
      <w:r w:rsidR="00847DCE" w:rsidRPr="00C4755C">
        <w:rPr>
          <w:rFonts w:ascii="Times New Roman" w:hAnsi="Times New Roman" w:cs="Times New Roman"/>
          <w:szCs w:val="24"/>
        </w:rPr>
        <w:t xml:space="preserve">ajwięksi dłużnicy prywatni będą zobowiązani </w:t>
      </w:r>
      <w:r w:rsidR="0036103C" w:rsidRPr="00C4755C">
        <w:rPr>
          <w:rFonts w:ascii="Times New Roman" w:hAnsi="Times New Roman" w:cs="Times New Roman"/>
          <w:szCs w:val="24"/>
        </w:rPr>
        <w:t>do przekazywania</w:t>
      </w:r>
      <w:r w:rsidR="00D97D0C" w:rsidRPr="00C4755C">
        <w:rPr>
          <w:rFonts w:ascii="Times New Roman" w:hAnsi="Times New Roman" w:cs="Times New Roman"/>
          <w:szCs w:val="24"/>
        </w:rPr>
        <w:t xml:space="preserve"> </w:t>
      </w:r>
      <w:r w:rsidR="00706349" w:rsidRPr="00C4755C">
        <w:rPr>
          <w:rFonts w:ascii="Times New Roman" w:hAnsi="Times New Roman" w:cs="Times New Roman"/>
          <w:szCs w:val="24"/>
        </w:rPr>
        <w:t>ministrowi właściwemu do spraw gospodarki</w:t>
      </w:r>
      <w:r w:rsidR="00F3246B" w:rsidRPr="00C4755C">
        <w:rPr>
          <w:rFonts w:ascii="Times New Roman" w:hAnsi="Times New Roman" w:cs="Times New Roman"/>
          <w:szCs w:val="24"/>
        </w:rPr>
        <w:t>, corocznie w</w:t>
      </w:r>
      <w:r w:rsidR="00C4755C">
        <w:rPr>
          <w:rFonts w:ascii="Times New Roman" w:hAnsi="Times New Roman" w:cs="Times New Roman"/>
          <w:szCs w:val="24"/>
        </w:rPr>
        <w:t xml:space="preserve"> </w:t>
      </w:r>
      <w:r w:rsidR="0036103C" w:rsidRPr="00C4755C">
        <w:rPr>
          <w:rFonts w:ascii="Times New Roman" w:hAnsi="Times New Roman" w:cs="Times New Roman"/>
          <w:szCs w:val="24"/>
        </w:rPr>
        <w:t>termi</w:t>
      </w:r>
      <w:r w:rsidR="00D97D0C" w:rsidRPr="00C4755C">
        <w:rPr>
          <w:rFonts w:ascii="Times New Roman" w:hAnsi="Times New Roman" w:cs="Times New Roman"/>
          <w:szCs w:val="24"/>
        </w:rPr>
        <w:t>nie do 31 stycznia,</w:t>
      </w:r>
      <w:r w:rsidR="005C58B1" w:rsidRPr="00C4755C">
        <w:rPr>
          <w:rFonts w:ascii="Times New Roman" w:hAnsi="Times New Roman" w:cs="Times New Roman"/>
          <w:szCs w:val="24"/>
        </w:rPr>
        <w:t xml:space="preserve"> </w:t>
      </w:r>
      <w:r w:rsidR="003E61DA" w:rsidRPr="00C4755C">
        <w:rPr>
          <w:rFonts w:ascii="Times New Roman" w:hAnsi="Times New Roman" w:cs="Times New Roman"/>
          <w:szCs w:val="24"/>
        </w:rPr>
        <w:t>sprawozdań o</w:t>
      </w:r>
      <w:r w:rsidR="00584C51" w:rsidRPr="00C4755C">
        <w:rPr>
          <w:rFonts w:ascii="Times New Roman" w:hAnsi="Times New Roman" w:cs="Times New Roman"/>
          <w:szCs w:val="24"/>
        </w:rPr>
        <w:t xml:space="preserve"> </w:t>
      </w:r>
      <w:r w:rsidR="00847DCE" w:rsidRPr="00C4755C">
        <w:rPr>
          <w:rFonts w:ascii="Times New Roman" w:hAnsi="Times New Roman" w:cs="Times New Roman"/>
          <w:szCs w:val="24"/>
        </w:rPr>
        <w:t>stosowanych terminach zapłaty</w:t>
      </w:r>
      <w:r w:rsidR="001F42D7" w:rsidRPr="00C4755C">
        <w:rPr>
          <w:rFonts w:ascii="Times New Roman" w:hAnsi="Times New Roman" w:cs="Times New Roman"/>
          <w:szCs w:val="24"/>
        </w:rPr>
        <w:t xml:space="preserve"> </w:t>
      </w:r>
      <w:r w:rsidR="00847DCE" w:rsidRPr="00C4755C">
        <w:rPr>
          <w:rFonts w:ascii="Times New Roman" w:hAnsi="Times New Roman" w:cs="Times New Roman"/>
          <w:szCs w:val="24"/>
        </w:rPr>
        <w:t>(art. 13a ust.</w:t>
      </w:r>
      <w:r w:rsidR="00F1745F">
        <w:rPr>
          <w:rFonts w:ascii="Times New Roman" w:hAnsi="Times New Roman" w:cs="Times New Roman"/>
          <w:szCs w:val="24"/>
        </w:rPr>
        <w:t> </w:t>
      </w:r>
      <w:r w:rsidR="00847DCE" w:rsidRPr="00C4755C">
        <w:rPr>
          <w:rFonts w:ascii="Times New Roman" w:hAnsi="Times New Roman" w:cs="Times New Roman"/>
          <w:szCs w:val="24"/>
        </w:rPr>
        <w:t>1)</w:t>
      </w:r>
      <w:r w:rsidR="001F42D7" w:rsidRPr="00C4755C">
        <w:rPr>
          <w:rFonts w:ascii="Times New Roman" w:hAnsi="Times New Roman" w:cs="Times New Roman"/>
          <w:szCs w:val="24"/>
        </w:rPr>
        <w:t>.</w:t>
      </w:r>
      <w:r w:rsidR="00852658" w:rsidRPr="00C4755C">
        <w:rPr>
          <w:rFonts w:ascii="Times New Roman" w:hAnsi="Times New Roman" w:cs="Times New Roman"/>
          <w:szCs w:val="24"/>
        </w:rPr>
        <w:t xml:space="preserve"> </w:t>
      </w:r>
      <w:r w:rsidR="001F42D7" w:rsidRPr="00C4755C">
        <w:rPr>
          <w:rFonts w:ascii="Times New Roman" w:hAnsi="Times New Roman" w:cs="Times New Roman"/>
          <w:szCs w:val="24"/>
        </w:rPr>
        <w:t>Sprawozdanie o stosowanych terminach zapłaty będzie obejmowało następujące dane:</w:t>
      </w:r>
    </w:p>
    <w:p w14:paraId="0123BBC1" w14:textId="5A4DE4E8" w:rsidR="00D97D0C" w:rsidRPr="00C4755C" w:rsidRDefault="00847DCE" w:rsidP="00367815">
      <w:pPr>
        <w:pStyle w:val="ZPKTzmpktartykuempunktem"/>
        <w:ind w:left="425" w:hanging="425"/>
        <w:rPr>
          <w:rFonts w:ascii="Times New Roman" w:hAnsi="Times New Roman" w:cs="Times New Roman"/>
          <w:szCs w:val="24"/>
        </w:rPr>
      </w:pPr>
      <w:r w:rsidRPr="00C4755C">
        <w:rPr>
          <w:rFonts w:ascii="Times New Roman" w:hAnsi="Times New Roman" w:cs="Times New Roman"/>
          <w:szCs w:val="24"/>
        </w:rPr>
        <w:t>1)</w:t>
      </w:r>
      <w:r w:rsidR="00D97D0C" w:rsidRPr="00C4755C">
        <w:rPr>
          <w:rFonts w:ascii="Times New Roman" w:hAnsi="Times New Roman" w:cs="Times New Roman"/>
          <w:szCs w:val="24"/>
        </w:rPr>
        <w:tab/>
      </w:r>
      <w:r w:rsidR="005143E8" w:rsidRPr="00C4755C">
        <w:rPr>
          <w:rFonts w:ascii="Times New Roman" w:hAnsi="Times New Roman" w:cs="Times New Roman"/>
          <w:szCs w:val="24"/>
        </w:rPr>
        <w:t>firmę (nazwę) i NIP</w:t>
      </w:r>
      <w:r w:rsidR="000D3B55">
        <w:rPr>
          <w:rFonts w:ascii="Times New Roman" w:hAnsi="Times New Roman" w:cs="Times New Roman"/>
          <w:szCs w:val="24"/>
        </w:rPr>
        <w:t>;</w:t>
      </w:r>
    </w:p>
    <w:p w14:paraId="62E8BCF6" w14:textId="795391BD" w:rsidR="00D97D0C" w:rsidRPr="00C4755C" w:rsidRDefault="00D97D0C" w:rsidP="00367815">
      <w:pPr>
        <w:pStyle w:val="ZPKTzmpktartykuempunktem"/>
        <w:ind w:left="425" w:hanging="425"/>
        <w:rPr>
          <w:rFonts w:ascii="Times New Roman" w:hAnsi="Times New Roman" w:cs="Times New Roman"/>
          <w:szCs w:val="24"/>
        </w:rPr>
      </w:pPr>
      <w:r w:rsidRPr="00C4755C">
        <w:rPr>
          <w:rFonts w:ascii="Times New Roman" w:hAnsi="Times New Roman" w:cs="Times New Roman"/>
          <w:szCs w:val="24"/>
        </w:rPr>
        <w:t>2)</w:t>
      </w:r>
      <w:r w:rsidRPr="00C4755C">
        <w:rPr>
          <w:rFonts w:ascii="Times New Roman" w:hAnsi="Times New Roman" w:cs="Times New Roman"/>
          <w:szCs w:val="24"/>
        </w:rPr>
        <w:tab/>
        <w:t xml:space="preserve">wartość </w:t>
      </w:r>
      <w:r w:rsidR="00C67F7B" w:rsidRPr="00C4755C">
        <w:rPr>
          <w:rFonts w:ascii="Times New Roman" w:hAnsi="Times New Roman" w:cs="Times New Roman"/>
          <w:szCs w:val="24"/>
        </w:rPr>
        <w:t>świadczeń pieniężnych</w:t>
      </w:r>
      <w:r w:rsidRPr="00C4755C">
        <w:rPr>
          <w:rFonts w:ascii="Times New Roman" w:hAnsi="Times New Roman" w:cs="Times New Roman"/>
          <w:szCs w:val="24"/>
        </w:rPr>
        <w:t xml:space="preserve"> otrzymanych </w:t>
      </w:r>
      <w:r w:rsidR="00C67F7B" w:rsidRPr="00C4755C">
        <w:rPr>
          <w:rFonts w:ascii="Times New Roman" w:hAnsi="Times New Roman" w:cs="Times New Roman"/>
          <w:szCs w:val="24"/>
        </w:rPr>
        <w:t xml:space="preserve">przez podmiot </w:t>
      </w:r>
      <w:r w:rsidRPr="00C4755C">
        <w:rPr>
          <w:rFonts w:ascii="Times New Roman" w:hAnsi="Times New Roman" w:cs="Times New Roman"/>
          <w:szCs w:val="24"/>
        </w:rPr>
        <w:t xml:space="preserve">w </w:t>
      </w:r>
      <w:r w:rsidR="00C67F7B" w:rsidRPr="00C4755C">
        <w:rPr>
          <w:rFonts w:ascii="Times New Roman" w:hAnsi="Times New Roman" w:cs="Times New Roman"/>
          <w:szCs w:val="24"/>
        </w:rPr>
        <w:t xml:space="preserve">poprzednim </w:t>
      </w:r>
      <w:r w:rsidRPr="00C4755C">
        <w:rPr>
          <w:rFonts w:ascii="Times New Roman" w:hAnsi="Times New Roman" w:cs="Times New Roman"/>
          <w:szCs w:val="24"/>
        </w:rPr>
        <w:t xml:space="preserve">roku </w:t>
      </w:r>
      <w:r w:rsidR="00C67F7B" w:rsidRPr="00C4755C">
        <w:rPr>
          <w:rFonts w:ascii="Times New Roman" w:hAnsi="Times New Roman" w:cs="Times New Roman"/>
          <w:szCs w:val="24"/>
        </w:rPr>
        <w:t xml:space="preserve">kalendarzowym </w:t>
      </w:r>
      <w:r w:rsidRPr="00C4755C">
        <w:rPr>
          <w:rFonts w:ascii="Times New Roman" w:hAnsi="Times New Roman" w:cs="Times New Roman"/>
          <w:szCs w:val="24"/>
        </w:rPr>
        <w:t>w</w:t>
      </w:r>
      <w:r w:rsidR="00584C51" w:rsidRPr="00C4755C">
        <w:rPr>
          <w:rFonts w:ascii="Times New Roman" w:hAnsi="Times New Roman" w:cs="Times New Roman"/>
          <w:szCs w:val="24"/>
        </w:rPr>
        <w:t xml:space="preserve"> </w:t>
      </w:r>
      <w:r w:rsidRPr="00C4755C">
        <w:rPr>
          <w:rFonts w:ascii="Times New Roman" w:hAnsi="Times New Roman" w:cs="Times New Roman"/>
          <w:szCs w:val="24"/>
        </w:rPr>
        <w:t xml:space="preserve">terminie </w:t>
      </w:r>
      <w:r w:rsidR="00C67F7B" w:rsidRPr="00C4755C">
        <w:rPr>
          <w:rFonts w:ascii="Times New Roman" w:hAnsi="Times New Roman" w:cs="Times New Roman"/>
          <w:szCs w:val="24"/>
        </w:rPr>
        <w:t xml:space="preserve">nieprzekraczającym </w:t>
      </w:r>
      <w:r w:rsidRPr="00C4755C">
        <w:rPr>
          <w:rFonts w:ascii="Times New Roman" w:hAnsi="Times New Roman" w:cs="Times New Roman"/>
          <w:szCs w:val="24"/>
        </w:rPr>
        <w:t xml:space="preserve">30 dni, </w:t>
      </w:r>
      <w:r w:rsidR="00C67F7B" w:rsidRPr="00C4755C">
        <w:rPr>
          <w:rFonts w:ascii="Times New Roman" w:hAnsi="Times New Roman" w:cs="Times New Roman"/>
          <w:szCs w:val="24"/>
        </w:rPr>
        <w:t xml:space="preserve">od </w:t>
      </w:r>
      <w:r w:rsidRPr="00C4755C">
        <w:rPr>
          <w:rFonts w:ascii="Times New Roman" w:hAnsi="Times New Roman" w:cs="Times New Roman"/>
          <w:szCs w:val="24"/>
        </w:rPr>
        <w:t>3</w:t>
      </w:r>
      <w:r w:rsidR="00C67F7B" w:rsidRPr="00C4755C">
        <w:rPr>
          <w:rFonts w:ascii="Times New Roman" w:hAnsi="Times New Roman" w:cs="Times New Roman"/>
          <w:szCs w:val="24"/>
        </w:rPr>
        <w:t>1</w:t>
      </w:r>
      <w:r w:rsidRPr="00C4755C">
        <w:rPr>
          <w:rFonts w:ascii="Times New Roman" w:hAnsi="Times New Roman" w:cs="Times New Roman"/>
          <w:szCs w:val="24"/>
        </w:rPr>
        <w:t xml:space="preserve"> do 60 dni</w:t>
      </w:r>
      <w:r w:rsidR="003E61DA" w:rsidRPr="00C4755C">
        <w:rPr>
          <w:rFonts w:ascii="Times New Roman" w:hAnsi="Times New Roman" w:cs="Times New Roman"/>
          <w:szCs w:val="24"/>
        </w:rPr>
        <w:t xml:space="preserve">, </w:t>
      </w:r>
      <w:r w:rsidR="00C67F7B" w:rsidRPr="00C4755C">
        <w:rPr>
          <w:rFonts w:ascii="Times New Roman" w:hAnsi="Times New Roman" w:cs="Times New Roman"/>
          <w:szCs w:val="24"/>
        </w:rPr>
        <w:t>od</w:t>
      </w:r>
      <w:r w:rsidR="003E61DA" w:rsidRPr="00C4755C">
        <w:rPr>
          <w:rFonts w:ascii="Times New Roman" w:hAnsi="Times New Roman" w:cs="Times New Roman"/>
          <w:szCs w:val="24"/>
        </w:rPr>
        <w:t xml:space="preserve"> 6</w:t>
      </w:r>
      <w:r w:rsidR="00C67F7B" w:rsidRPr="00C4755C">
        <w:rPr>
          <w:rFonts w:ascii="Times New Roman" w:hAnsi="Times New Roman" w:cs="Times New Roman"/>
          <w:szCs w:val="24"/>
        </w:rPr>
        <w:t>1</w:t>
      </w:r>
      <w:r w:rsidR="003E61DA" w:rsidRPr="00C4755C">
        <w:rPr>
          <w:rFonts w:ascii="Times New Roman" w:hAnsi="Times New Roman" w:cs="Times New Roman"/>
          <w:szCs w:val="24"/>
        </w:rPr>
        <w:t xml:space="preserve"> do 120 dni i</w:t>
      </w:r>
      <w:r w:rsidR="00584C51" w:rsidRPr="00C4755C">
        <w:rPr>
          <w:rFonts w:ascii="Times New Roman" w:hAnsi="Times New Roman" w:cs="Times New Roman"/>
          <w:szCs w:val="24"/>
        </w:rPr>
        <w:t xml:space="preserve"> </w:t>
      </w:r>
      <w:r w:rsidR="00C67F7B" w:rsidRPr="00C4755C">
        <w:rPr>
          <w:rFonts w:ascii="Times New Roman" w:hAnsi="Times New Roman" w:cs="Times New Roman"/>
          <w:szCs w:val="24"/>
        </w:rPr>
        <w:t>przekraczającym</w:t>
      </w:r>
      <w:r w:rsidRPr="00C4755C">
        <w:rPr>
          <w:rFonts w:ascii="Times New Roman" w:hAnsi="Times New Roman" w:cs="Times New Roman"/>
          <w:szCs w:val="24"/>
        </w:rPr>
        <w:t xml:space="preserve"> 120 dni</w:t>
      </w:r>
      <w:r w:rsidR="00BC74E7" w:rsidRPr="00C4755C">
        <w:rPr>
          <w:rFonts w:ascii="Times New Roman" w:hAnsi="Times New Roman" w:cs="Times New Roman"/>
          <w:szCs w:val="24"/>
        </w:rPr>
        <w:t xml:space="preserve"> (od dnia wystawienia faktury lub rachunku potwierdzającego dostawę towaru lub wykonanie usługi)</w:t>
      </w:r>
      <w:r w:rsidR="000D3B55">
        <w:rPr>
          <w:rFonts w:ascii="Times New Roman" w:hAnsi="Times New Roman" w:cs="Times New Roman"/>
          <w:szCs w:val="24"/>
        </w:rPr>
        <w:t>;</w:t>
      </w:r>
    </w:p>
    <w:p w14:paraId="357DA17E" w14:textId="160AEA5C" w:rsidR="00D97D0C" w:rsidRPr="00C4755C" w:rsidRDefault="00D97D0C" w:rsidP="00367815">
      <w:pPr>
        <w:pStyle w:val="ZPKTzmpktartykuempunktem"/>
        <w:ind w:left="425" w:hanging="425"/>
        <w:rPr>
          <w:rFonts w:ascii="Times New Roman" w:hAnsi="Times New Roman" w:cs="Times New Roman"/>
          <w:szCs w:val="24"/>
        </w:rPr>
      </w:pPr>
      <w:r w:rsidRPr="00C4755C">
        <w:rPr>
          <w:rFonts w:ascii="Times New Roman" w:hAnsi="Times New Roman" w:cs="Times New Roman"/>
          <w:szCs w:val="24"/>
        </w:rPr>
        <w:t>3)</w:t>
      </w:r>
      <w:r w:rsidRPr="00C4755C">
        <w:rPr>
          <w:rFonts w:ascii="Times New Roman" w:hAnsi="Times New Roman" w:cs="Times New Roman"/>
          <w:szCs w:val="24"/>
        </w:rPr>
        <w:tab/>
        <w:t xml:space="preserve">wartość </w:t>
      </w:r>
      <w:r w:rsidR="00C67F7B" w:rsidRPr="00C4755C">
        <w:rPr>
          <w:rFonts w:ascii="Times New Roman" w:hAnsi="Times New Roman" w:cs="Times New Roman"/>
          <w:szCs w:val="24"/>
        </w:rPr>
        <w:t xml:space="preserve">świadczeń pieniężnych spełnionych przez podmiot </w:t>
      </w:r>
      <w:r w:rsidR="0036103C" w:rsidRPr="00C4755C">
        <w:rPr>
          <w:rFonts w:ascii="Times New Roman" w:hAnsi="Times New Roman" w:cs="Times New Roman"/>
          <w:szCs w:val="24"/>
        </w:rPr>
        <w:t xml:space="preserve">w </w:t>
      </w:r>
      <w:r w:rsidR="00C67F7B" w:rsidRPr="00C4755C">
        <w:rPr>
          <w:rFonts w:ascii="Times New Roman" w:hAnsi="Times New Roman" w:cs="Times New Roman"/>
          <w:szCs w:val="24"/>
        </w:rPr>
        <w:t xml:space="preserve">poprzednim </w:t>
      </w:r>
      <w:r w:rsidR="0036103C" w:rsidRPr="00C4755C">
        <w:rPr>
          <w:rFonts w:ascii="Times New Roman" w:hAnsi="Times New Roman" w:cs="Times New Roman"/>
          <w:szCs w:val="24"/>
        </w:rPr>
        <w:t>roku</w:t>
      </w:r>
      <w:r w:rsidR="00C67F7B" w:rsidRPr="00C4755C">
        <w:rPr>
          <w:rFonts w:ascii="Times New Roman" w:hAnsi="Times New Roman" w:cs="Times New Roman"/>
          <w:szCs w:val="24"/>
        </w:rPr>
        <w:t xml:space="preserve"> kalendarzowym</w:t>
      </w:r>
      <w:r w:rsidR="0036103C" w:rsidRPr="00C4755C">
        <w:rPr>
          <w:rFonts w:ascii="Times New Roman" w:hAnsi="Times New Roman" w:cs="Times New Roman"/>
          <w:szCs w:val="24"/>
        </w:rPr>
        <w:t xml:space="preserve"> </w:t>
      </w:r>
      <w:r w:rsidR="00C67F7B" w:rsidRPr="00C4755C">
        <w:rPr>
          <w:rFonts w:ascii="Times New Roman" w:hAnsi="Times New Roman" w:cs="Times New Roman"/>
          <w:szCs w:val="24"/>
        </w:rPr>
        <w:t xml:space="preserve">w terminie nieprzekraczającym 30 dni, od 31 do 60 dni, od 61 do </w:t>
      </w:r>
      <w:r w:rsidR="00C67F7B" w:rsidRPr="00C4755C">
        <w:rPr>
          <w:rFonts w:ascii="Times New Roman" w:hAnsi="Times New Roman" w:cs="Times New Roman"/>
          <w:szCs w:val="24"/>
        </w:rPr>
        <w:lastRenderedPageBreak/>
        <w:t>120 dni i przekraczającym 120 dni (od dnia wystawienia faktury lub rachunku potwierdzającego dostawę towaru lub wykonanie usługi)</w:t>
      </w:r>
      <w:r w:rsidR="000D3B55">
        <w:rPr>
          <w:rFonts w:ascii="Times New Roman" w:hAnsi="Times New Roman" w:cs="Times New Roman"/>
          <w:szCs w:val="24"/>
        </w:rPr>
        <w:t>;</w:t>
      </w:r>
    </w:p>
    <w:p w14:paraId="0A804A1D" w14:textId="3BCD9813" w:rsidR="00D97D0C" w:rsidRPr="00C4755C" w:rsidRDefault="00D97D0C" w:rsidP="00367815">
      <w:pPr>
        <w:pStyle w:val="ZPKTzmpktartykuempunktem"/>
        <w:ind w:left="425" w:hanging="425"/>
        <w:rPr>
          <w:rFonts w:ascii="Times New Roman" w:hAnsi="Times New Roman" w:cs="Times New Roman"/>
          <w:szCs w:val="24"/>
        </w:rPr>
      </w:pPr>
      <w:r w:rsidRPr="00C4755C">
        <w:rPr>
          <w:rFonts w:ascii="Times New Roman" w:hAnsi="Times New Roman" w:cs="Times New Roman"/>
          <w:szCs w:val="24"/>
        </w:rPr>
        <w:t>4)</w:t>
      </w:r>
      <w:r w:rsidRPr="00C4755C">
        <w:rPr>
          <w:rFonts w:ascii="Times New Roman" w:hAnsi="Times New Roman" w:cs="Times New Roman"/>
          <w:szCs w:val="24"/>
        </w:rPr>
        <w:tab/>
        <w:t xml:space="preserve">wartość </w:t>
      </w:r>
      <w:r w:rsidR="0035668F" w:rsidRPr="00C4755C">
        <w:rPr>
          <w:rFonts w:ascii="Times New Roman" w:hAnsi="Times New Roman" w:cs="Times New Roman"/>
          <w:szCs w:val="24"/>
        </w:rPr>
        <w:t>świadczeń pieniężnych</w:t>
      </w:r>
      <w:r w:rsidRPr="00C4755C">
        <w:rPr>
          <w:rFonts w:ascii="Times New Roman" w:hAnsi="Times New Roman" w:cs="Times New Roman"/>
          <w:szCs w:val="24"/>
        </w:rPr>
        <w:t xml:space="preserve"> nieotrzymanych </w:t>
      </w:r>
      <w:r w:rsidR="0035668F" w:rsidRPr="00C4755C">
        <w:rPr>
          <w:rFonts w:ascii="Times New Roman" w:hAnsi="Times New Roman" w:cs="Times New Roman"/>
          <w:szCs w:val="24"/>
        </w:rPr>
        <w:t xml:space="preserve">przez podmiot </w:t>
      </w:r>
      <w:r w:rsidRPr="00C4755C">
        <w:rPr>
          <w:rFonts w:ascii="Times New Roman" w:hAnsi="Times New Roman" w:cs="Times New Roman"/>
          <w:szCs w:val="24"/>
        </w:rPr>
        <w:t xml:space="preserve">w </w:t>
      </w:r>
      <w:r w:rsidR="0035668F" w:rsidRPr="00C4755C">
        <w:rPr>
          <w:rFonts w:ascii="Times New Roman" w:hAnsi="Times New Roman" w:cs="Times New Roman"/>
          <w:szCs w:val="24"/>
        </w:rPr>
        <w:t xml:space="preserve">poprzednim </w:t>
      </w:r>
      <w:r w:rsidRPr="00C4755C">
        <w:rPr>
          <w:rFonts w:ascii="Times New Roman" w:hAnsi="Times New Roman" w:cs="Times New Roman"/>
          <w:szCs w:val="24"/>
        </w:rPr>
        <w:t xml:space="preserve">roku </w:t>
      </w:r>
      <w:r w:rsidR="0035668F" w:rsidRPr="00C4755C">
        <w:rPr>
          <w:rFonts w:ascii="Times New Roman" w:hAnsi="Times New Roman" w:cs="Times New Roman"/>
          <w:szCs w:val="24"/>
        </w:rPr>
        <w:t xml:space="preserve">kalendarzowym </w:t>
      </w:r>
      <w:r w:rsidRPr="00C4755C">
        <w:rPr>
          <w:rFonts w:ascii="Times New Roman" w:hAnsi="Times New Roman" w:cs="Times New Roman"/>
          <w:szCs w:val="24"/>
        </w:rPr>
        <w:t>w</w:t>
      </w:r>
      <w:r w:rsidR="00584C51" w:rsidRPr="00C4755C">
        <w:rPr>
          <w:rFonts w:ascii="Times New Roman" w:hAnsi="Times New Roman" w:cs="Times New Roman"/>
          <w:szCs w:val="24"/>
        </w:rPr>
        <w:t xml:space="preserve"> </w:t>
      </w:r>
      <w:r w:rsidRPr="00C4755C">
        <w:rPr>
          <w:rFonts w:ascii="Times New Roman" w:hAnsi="Times New Roman" w:cs="Times New Roman"/>
          <w:szCs w:val="24"/>
        </w:rPr>
        <w:t xml:space="preserve">terminie </w:t>
      </w:r>
      <w:r w:rsidR="0035668F" w:rsidRPr="00C4755C">
        <w:rPr>
          <w:rFonts w:ascii="Times New Roman" w:hAnsi="Times New Roman" w:cs="Times New Roman"/>
          <w:szCs w:val="24"/>
        </w:rPr>
        <w:t xml:space="preserve">określonym w umowie </w:t>
      </w:r>
      <w:r w:rsidR="007E6FAA" w:rsidRPr="00C4755C">
        <w:rPr>
          <w:rFonts w:ascii="Times New Roman" w:hAnsi="Times New Roman" w:cs="Times New Roman"/>
          <w:szCs w:val="24"/>
        </w:rPr>
        <w:t xml:space="preserve">oraz udział procentowy tych </w:t>
      </w:r>
      <w:r w:rsidR="0035668F" w:rsidRPr="00C4755C">
        <w:rPr>
          <w:rFonts w:ascii="Times New Roman" w:hAnsi="Times New Roman" w:cs="Times New Roman"/>
          <w:szCs w:val="24"/>
        </w:rPr>
        <w:t xml:space="preserve">świadczeń </w:t>
      </w:r>
      <w:r w:rsidR="007E6FAA" w:rsidRPr="00C4755C">
        <w:rPr>
          <w:rFonts w:ascii="Times New Roman" w:hAnsi="Times New Roman" w:cs="Times New Roman"/>
          <w:szCs w:val="24"/>
        </w:rPr>
        <w:t xml:space="preserve">w całkowitej wartości </w:t>
      </w:r>
      <w:r w:rsidR="0035668F" w:rsidRPr="00C4755C">
        <w:rPr>
          <w:rFonts w:ascii="Times New Roman" w:hAnsi="Times New Roman" w:cs="Times New Roman"/>
          <w:szCs w:val="24"/>
        </w:rPr>
        <w:t>świadczeń pieniężnych należnych temu podmiotowi w tym roku</w:t>
      </w:r>
      <w:r w:rsidR="000D3B55">
        <w:rPr>
          <w:rFonts w:ascii="Times New Roman" w:hAnsi="Times New Roman" w:cs="Times New Roman"/>
          <w:szCs w:val="24"/>
        </w:rPr>
        <w:t>;</w:t>
      </w:r>
    </w:p>
    <w:p w14:paraId="0770FBE6" w14:textId="3712088D" w:rsidR="00D97D0C" w:rsidRPr="00C4755C" w:rsidRDefault="00D97D0C" w:rsidP="00367815">
      <w:pPr>
        <w:pStyle w:val="ZPKTzmpktartykuempunktem"/>
        <w:ind w:left="425" w:hanging="425"/>
        <w:rPr>
          <w:rFonts w:ascii="Times New Roman" w:hAnsi="Times New Roman" w:cs="Times New Roman"/>
          <w:szCs w:val="24"/>
        </w:rPr>
      </w:pPr>
      <w:r w:rsidRPr="00C4755C">
        <w:rPr>
          <w:rFonts w:ascii="Times New Roman" w:hAnsi="Times New Roman" w:cs="Times New Roman"/>
          <w:szCs w:val="24"/>
        </w:rPr>
        <w:t>5)</w:t>
      </w:r>
      <w:r w:rsidRPr="00C4755C">
        <w:rPr>
          <w:rFonts w:ascii="Times New Roman" w:hAnsi="Times New Roman" w:cs="Times New Roman"/>
          <w:szCs w:val="24"/>
        </w:rPr>
        <w:tab/>
        <w:t xml:space="preserve">wartość </w:t>
      </w:r>
      <w:r w:rsidR="0035668F" w:rsidRPr="00C4755C">
        <w:rPr>
          <w:rFonts w:ascii="Times New Roman" w:hAnsi="Times New Roman" w:cs="Times New Roman"/>
          <w:szCs w:val="24"/>
        </w:rPr>
        <w:t>świadczeń pieniężnych</w:t>
      </w:r>
      <w:r w:rsidRPr="00C4755C">
        <w:rPr>
          <w:rFonts w:ascii="Times New Roman" w:hAnsi="Times New Roman" w:cs="Times New Roman"/>
          <w:szCs w:val="24"/>
        </w:rPr>
        <w:t xml:space="preserve"> </w:t>
      </w:r>
      <w:r w:rsidR="0035668F" w:rsidRPr="00C4755C">
        <w:rPr>
          <w:rFonts w:ascii="Times New Roman" w:hAnsi="Times New Roman" w:cs="Times New Roman"/>
          <w:szCs w:val="24"/>
        </w:rPr>
        <w:t xml:space="preserve">niespełnionych </w:t>
      </w:r>
      <w:r w:rsidRPr="00C4755C">
        <w:rPr>
          <w:rFonts w:ascii="Times New Roman" w:hAnsi="Times New Roman" w:cs="Times New Roman"/>
          <w:szCs w:val="24"/>
        </w:rPr>
        <w:t xml:space="preserve">w </w:t>
      </w:r>
      <w:r w:rsidR="0035668F" w:rsidRPr="00C4755C">
        <w:rPr>
          <w:rFonts w:ascii="Times New Roman" w:hAnsi="Times New Roman" w:cs="Times New Roman"/>
          <w:szCs w:val="24"/>
        </w:rPr>
        <w:t xml:space="preserve">poprzednim </w:t>
      </w:r>
      <w:r w:rsidRPr="00C4755C">
        <w:rPr>
          <w:rFonts w:ascii="Times New Roman" w:hAnsi="Times New Roman" w:cs="Times New Roman"/>
          <w:szCs w:val="24"/>
        </w:rPr>
        <w:t>roku</w:t>
      </w:r>
      <w:r w:rsidR="0035668F" w:rsidRPr="00C4755C">
        <w:rPr>
          <w:rFonts w:ascii="Times New Roman" w:hAnsi="Times New Roman" w:cs="Times New Roman"/>
          <w:szCs w:val="24"/>
        </w:rPr>
        <w:t xml:space="preserve"> kalendarzowym przez podmiot</w:t>
      </w:r>
      <w:r w:rsidRPr="00C4755C">
        <w:rPr>
          <w:rFonts w:ascii="Times New Roman" w:hAnsi="Times New Roman" w:cs="Times New Roman"/>
          <w:szCs w:val="24"/>
        </w:rPr>
        <w:t xml:space="preserve"> w terminie </w:t>
      </w:r>
      <w:r w:rsidR="0035668F" w:rsidRPr="00C4755C">
        <w:rPr>
          <w:rFonts w:ascii="Times New Roman" w:hAnsi="Times New Roman" w:cs="Times New Roman"/>
          <w:szCs w:val="24"/>
        </w:rPr>
        <w:t xml:space="preserve">określonym w umowie </w:t>
      </w:r>
      <w:r w:rsidR="007E6FAA" w:rsidRPr="00C4755C">
        <w:rPr>
          <w:rFonts w:ascii="Times New Roman" w:hAnsi="Times New Roman" w:cs="Times New Roman"/>
          <w:szCs w:val="24"/>
        </w:rPr>
        <w:t xml:space="preserve">oraz udział procentowy tych </w:t>
      </w:r>
      <w:r w:rsidR="0035668F" w:rsidRPr="00C4755C">
        <w:rPr>
          <w:rFonts w:ascii="Times New Roman" w:hAnsi="Times New Roman" w:cs="Times New Roman"/>
          <w:szCs w:val="24"/>
        </w:rPr>
        <w:t xml:space="preserve">świadczeń </w:t>
      </w:r>
      <w:r w:rsidR="007E6FAA" w:rsidRPr="00C4755C">
        <w:rPr>
          <w:rFonts w:ascii="Times New Roman" w:hAnsi="Times New Roman" w:cs="Times New Roman"/>
          <w:szCs w:val="24"/>
        </w:rPr>
        <w:t xml:space="preserve">w całkowitej wartości </w:t>
      </w:r>
      <w:r w:rsidR="0035668F" w:rsidRPr="00C4755C">
        <w:rPr>
          <w:rFonts w:ascii="Times New Roman" w:hAnsi="Times New Roman" w:cs="Times New Roman"/>
          <w:szCs w:val="24"/>
        </w:rPr>
        <w:t>świadczeń pieniężnych do których spełnienia zobowiązany jest ten podmiot</w:t>
      </w:r>
      <w:r w:rsidR="007E6FAA" w:rsidRPr="00C4755C">
        <w:rPr>
          <w:rFonts w:ascii="Times New Roman" w:hAnsi="Times New Roman" w:cs="Times New Roman"/>
          <w:szCs w:val="24"/>
        </w:rPr>
        <w:t xml:space="preserve"> w </w:t>
      </w:r>
      <w:r w:rsidR="0035668F" w:rsidRPr="00C4755C">
        <w:rPr>
          <w:rFonts w:ascii="Times New Roman" w:hAnsi="Times New Roman" w:cs="Times New Roman"/>
          <w:szCs w:val="24"/>
        </w:rPr>
        <w:t xml:space="preserve">tym </w:t>
      </w:r>
      <w:r w:rsidR="007E6FAA" w:rsidRPr="00C4755C">
        <w:rPr>
          <w:rFonts w:ascii="Times New Roman" w:hAnsi="Times New Roman" w:cs="Times New Roman"/>
          <w:szCs w:val="24"/>
        </w:rPr>
        <w:t>roku</w:t>
      </w:r>
      <w:r w:rsidR="0036103C" w:rsidRPr="00C4755C">
        <w:rPr>
          <w:rFonts w:ascii="Times New Roman" w:hAnsi="Times New Roman" w:cs="Times New Roman"/>
          <w:szCs w:val="24"/>
        </w:rPr>
        <w:t>.</w:t>
      </w:r>
    </w:p>
    <w:p w14:paraId="49B1BD0B" w14:textId="4345C271" w:rsidR="00302294" w:rsidRPr="00C4755C" w:rsidRDefault="00A94194"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Obowiąz</w:t>
      </w:r>
      <w:r w:rsidR="001571F2" w:rsidRPr="00C4755C">
        <w:rPr>
          <w:rFonts w:ascii="Times New Roman" w:hAnsi="Times New Roman" w:cs="Times New Roman"/>
          <w:szCs w:val="24"/>
        </w:rPr>
        <w:t>e</w:t>
      </w:r>
      <w:r w:rsidRPr="00C4755C">
        <w:rPr>
          <w:rFonts w:ascii="Times New Roman" w:hAnsi="Times New Roman" w:cs="Times New Roman"/>
          <w:szCs w:val="24"/>
        </w:rPr>
        <w:t>k przekazania sprawozdania nałoż</w:t>
      </w:r>
      <w:r w:rsidR="001571F2" w:rsidRPr="00C4755C">
        <w:rPr>
          <w:rFonts w:ascii="Times New Roman" w:hAnsi="Times New Roman" w:cs="Times New Roman"/>
          <w:szCs w:val="24"/>
        </w:rPr>
        <w:t>o</w:t>
      </w:r>
      <w:r w:rsidRPr="00C4755C">
        <w:rPr>
          <w:rFonts w:ascii="Times New Roman" w:hAnsi="Times New Roman" w:cs="Times New Roman"/>
          <w:szCs w:val="24"/>
        </w:rPr>
        <w:t xml:space="preserve">no na osobę fizyczną (kierownika podmiotu), co koresponduje z sankcją wykroczeniową przewidzianą na wypadek naruszenia przepisu. </w:t>
      </w:r>
      <w:r w:rsidR="007833FD" w:rsidRPr="00C4755C">
        <w:rPr>
          <w:rFonts w:ascii="Times New Roman" w:hAnsi="Times New Roman" w:cs="Times New Roman"/>
          <w:szCs w:val="24"/>
        </w:rPr>
        <w:t>Nie</w:t>
      </w:r>
      <w:r w:rsidR="005143E8" w:rsidRPr="00C4755C">
        <w:rPr>
          <w:rFonts w:ascii="Times New Roman" w:hAnsi="Times New Roman" w:cs="Times New Roman"/>
          <w:szCs w:val="24"/>
        </w:rPr>
        <w:t xml:space="preserve">przekazanie sprawozdania do publikacji </w:t>
      </w:r>
      <w:r w:rsidR="00E77BFD" w:rsidRPr="00C4755C">
        <w:rPr>
          <w:rFonts w:ascii="Times New Roman" w:hAnsi="Times New Roman" w:cs="Times New Roman"/>
          <w:szCs w:val="24"/>
        </w:rPr>
        <w:t>będzie</w:t>
      </w:r>
      <w:r w:rsidR="007833FD" w:rsidRPr="00C4755C">
        <w:rPr>
          <w:rFonts w:ascii="Times New Roman" w:hAnsi="Times New Roman" w:cs="Times New Roman"/>
          <w:szCs w:val="24"/>
        </w:rPr>
        <w:t xml:space="preserve"> </w:t>
      </w:r>
      <w:r w:rsidR="001B795A" w:rsidRPr="00C4755C">
        <w:rPr>
          <w:rFonts w:ascii="Times New Roman" w:hAnsi="Times New Roman" w:cs="Times New Roman"/>
          <w:szCs w:val="24"/>
        </w:rPr>
        <w:t xml:space="preserve">zagrożone </w:t>
      </w:r>
      <w:r w:rsidR="007833FD" w:rsidRPr="00C4755C">
        <w:rPr>
          <w:rFonts w:ascii="Times New Roman" w:hAnsi="Times New Roman" w:cs="Times New Roman"/>
          <w:szCs w:val="24"/>
        </w:rPr>
        <w:t xml:space="preserve">karą </w:t>
      </w:r>
      <w:r w:rsidR="00302294" w:rsidRPr="00C4755C">
        <w:rPr>
          <w:rFonts w:ascii="Times New Roman" w:hAnsi="Times New Roman" w:cs="Times New Roman"/>
          <w:szCs w:val="24"/>
        </w:rPr>
        <w:t>grzywny</w:t>
      </w:r>
      <w:r w:rsidR="007833FD" w:rsidRPr="00C4755C">
        <w:rPr>
          <w:rFonts w:ascii="Times New Roman" w:hAnsi="Times New Roman" w:cs="Times New Roman"/>
          <w:szCs w:val="24"/>
        </w:rPr>
        <w:t>.</w:t>
      </w:r>
      <w:r w:rsidR="00724A49" w:rsidRPr="00C4755C">
        <w:rPr>
          <w:rFonts w:ascii="Times New Roman" w:hAnsi="Times New Roman" w:cs="Times New Roman"/>
          <w:szCs w:val="24"/>
        </w:rPr>
        <w:t xml:space="preserve"> </w:t>
      </w:r>
      <w:r w:rsidR="000356FC" w:rsidRPr="00C4755C">
        <w:rPr>
          <w:rFonts w:ascii="Times New Roman" w:hAnsi="Times New Roman" w:cs="Times New Roman"/>
          <w:szCs w:val="24"/>
        </w:rPr>
        <w:t>K</w:t>
      </w:r>
      <w:r w:rsidR="007833FD" w:rsidRPr="00C4755C">
        <w:rPr>
          <w:rFonts w:ascii="Times New Roman" w:hAnsi="Times New Roman" w:cs="Times New Roman"/>
          <w:szCs w:val="24"/>
        </w:rPr>
        <w:t xml:space="preserve">aralne </w:t>
      </w:r>
      <w:r w:rsidRPr="00C4755C">
        <w:rPr>
          <w:rFonts w:ascii="Times New Roman" w:hAnsi="Times New Roman" w:cs="Times New Roman"/>
          <w:szCs w:val="24"/>
        </w:rPr>
        <w:t>będzie</w:t>
      </w:r>
      <w:r w:rsidR="007833FD" w:rsidRPr="00C4755C">
        <w:rPr>
          <w:rFonts w:ascii="Times New Roman" w:hAnsi="Times New Roman" w:cs="Times New Roman"/>
          <w:szCs w:val="24"/>
        </w:rPr>
        <w:t xml:space="preserve"> także utrudnianie albo udaremnianie </w:t>
      </w:r>
      <w:r w:rsidR="00BD4483" w:rsidRPr="00C4755C">
        <w:rPr>
          <w:rFonts w:ascii="Times New Roman" w:hAnsi="Times New Roman" w:cs="Times New Roman"/>
          <w:bCs w:val="0"/>
          <w:szCs w:val="24"/>
        </w:rPr>
        <w:t xml:space="preserve">wywiązania się z obowiązków </w:t>
      </w:r>
      <w:r w:rsidR="00BD4483" w:rsidRPr="00C4755C">
        <w:rPr>
          <w:rFonts w:ascii="Times New Roman" w:hAnsi="Times New Roman" w:cs="Times New Roman"/>
          <w:szCs w:val="24"/>
        </w:rPr>
        <w:t xml:space="preserve">sprawozdawczych </w:t>
      </w:r>
      <w:r w:rsidR="007833FD" w:rsidRPr="00C4755C">
        <w:rPr>
          <w:rFonts w:ascii="Times New Roman" w:hAnsi="Times New Roman" w:cs="Times New Roman"/>
          <w:szCs w:val="24"/>
        </w:rPr>
        <w:t>przez osobę zobowiązaną</w:t>
      </w:r>
      <w:r w:rsidR="00BD4483" w:rsidRPr="00C4755C">
        <w:rPr>
          <w:rFonts w:ascii="Times New Roman" w:hAnsi="Times New Roman" w:cs="Times New Roman"/>
          <w:szCs w:val="24"/>
        </w:rPr>
        <w:t>.</w:t>
      </w:r>
    </w:p>
    <w:p w14:paraId="428B32B4" w14:textId="10CCE3E6" w:rsidR="00D50604" w:rsidRPr="00C4755C" w:rsidRDefault="00D50604"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Minister właściwy do spraw gospodarki, w przypadku powzięcia podejrzenia, że sprawozdanie zawiera nierzetelne lub nieprawdziwe informacje, będzie przekazywał informację o takim podejrzeniu Prezesowi UOKiK</w:t>
      </w:r>
      <w:r w:rsidR="00A94194" w:rsidRPr="00C4755C">
        <w:rPr>
          <w:rFonts w:ascii="Times New Roman" w:hAnsi="Times New Roman" w:cs="Times New Roman"/>
          <w:szCs w:val="24"/>
        </w:rPr>
        <w:t xml:space="preserve"> (art. </w:t>
      </w:r>
      <w:r w:rsidR="00153B49" w:rsidRPr="00C4755C">
        <w:rPr>
          <w:rFonts w:ascii="Times New Roman" w:hAnsi="Times New Roman" w:cs="Times New Roman"/>
          <w:szCs w:val="24"/>
        </w:rPr>
        <w:t>13</w:t>
      </w:r>
      <w:r w:rsidR="00A94194" w:rsidRPr="00C4755C">
        <w:rPr>
          <w:rFonts w:ascii="Times New Roman" w:hAnsi="Times New Roman" w:cs="Times New Roman"/>
          <w:szCs w:val="24"/>
        </w:rPr>
        <w:t>c ust. 5)</w:t>
      </w:r>
      <w:r w:rsidRPr="00C4755C">
        <w:rPr>
          <w:rFonts w:ascii="Times New Roman" w:hAnsi="Times New Roman" w:cs="Times New Roman"/>
          <w:szCs w:val="24"/>
        </w:rPr>
        <w:t>. Posłuży ona do dokonania analizy</w:t>
      </w:r>
      <w:r w:rsidRPr="00C4755C">
        <w:rPr>
          <w:rFonts w:ascii="Times New Roman" w:eastAsia="Calibri" w:hAnsi="Times New Roman" w:cs="Times New Roman"/>
          <w:bCs w:val="0"/>
          <w:szCs w:val="24"/>
          <w:lang w:eastAsia="en-US"/>
        </w:rPr>
        <w:t xml:space="preserve"> </w:t>
      </w:r>
      <w:r w:rsidR="001571F2" w:rsidRPr="00C4755C">
        <w:rPr>
          <w:rFonts w:ascii="Times New Roman" w:hAnsi="Times New Roman" w:cs="Times New Roman"/>
          <w:szCs w:val="24"/>
        </w:rPr>
        <w:t>prawdopodobieństwa</w:t>
      </w:r>
      <w:r w:rsidRPr="00C4755C">
        <w:rPr>
          <w:rFonts w:ascii="Times New Roman" w:hAnsi="Times New Roman" w:cs="Times New Roman"/>
          <w:szCs w:val="24"/>
        </w:rPr>
        <w:t xml:space="preserve"> nadmiernego opóźniania się ze spełnianiem świadczeń pieniężnych.</w:t>
      </w:r>
    </w:p>
    <w:p w14:paraId="601BA52B" w14:textId="594FE3C6" w:rsidR="00727F7C" w:rsidRPr="00C4755C" w:rsidRDefault="003104A8" w:rsidP="00BD2222">
      <w:pPr>
        <w:keepNext/>
        <w:spacing w:before="120"/>
        <w:jc w:val="both"/>
        <w:rPr>
          <w:rFonts w:cs="Times New Roman"/>
          <w:b/>
          <w:i/>
          <w:szCs w:val="24"/>
        </w:rPr>
      </w:pPr>
      <w:r w:rsidRPr="00C4755C">
        <w:rPr>
          <w:rFonts w:cs="Times New Roman"/>
          <w:b/>
          <w:i/>
          <w:szCs w:val="24"/>
        </w:rPr>
        <w:t>1</w:t>
      </w:r>
      <w:r w:rsidR="00B159F7" w:rsidRPr="00C4755C">
        <w:rPr>
          <w:rFonts w:cs="Times New Roman"/>
          <w:b/>
          <w:i/>
          <w:szCs w:val="24"/>
        </w:rPr>
        <w:t>1</w:t>
      </w:r>
      <w:r w:rsidR="005143E8" w:rsidRPr="00C4755C">
        <w:rPr>
          <w:rFonts w:cs="Times New Roman"/>
          <w:b/>
          <w:i/>
          <w:szCs w:val="24"/>
        </w:rPr>
        <w:t xml:space="preserve">) </w:t>
      </w:r>
      <w:r w:rsidR="00851134" w:rsidRPr="00C4755C">
        <w:rPr>
          <w:rFonts w:cs="Times New Roman"/>
          <w:b/>
          <w:i/>
          <w:szCs w:val="24"/>
        </w:rPr>
        <w:t>Postępowanie w sprawie nadmiernych opóźnień</w:t>
      </w:r>
      <w:r w:rsidR="0073739D" w:rsidRPr="00C4755C">
        <w:rPr>
          <w:rFonts w:cs="Times New Roman"/>
          <w:b/>
          <w:i/>
          <w:szCs w:val="24"/>
        </w:rPr>
        <w:t xml:space="preserve"> </w:t>
      </w:r>
      <w:r w:rsidR="007B482D" w:rsidRPr="00C4755C">
        <w:rPr>
          <w:rFonts w:cs="Times New Roman"/>
          <w:b/>
          <w:i/>
          <w:szCs w:val="24"/>
        </w:rPr>
        <w:t xml:space="preserve">ze </w:t>
      </w:r>
      <w:r w:rsidR="00851134" w:rsidRPr="00C4755C">
        <w:rPr>
          <w:rFonts w:cs="Times New Roman"/>
          <w:b/>
          <w:i/>
          <w:szCs w:val="24"/>
        </w:rPr>
        <w:t>spełniani</w:t>
      </w:r>
      <w:r w:rsidR="001571F2" w:rsidRPr="00C4755C">
        <w:rPr>
          <w:rFonts w:cs="Times New Roman"/>
          <w:b/>
          <w:i/>
          <w:szCs w:val="24"/>
        </w:rPr>
        <w:t>em</w:t>
      </w:r>
      <w:r w:rsidR="00851134" w:rsidRPr="00C4755C">
        <w:rPr>
          <w:rFonts w:cs="Times New Roman"/>
          <w:b/>
          <w:i/>
          <w:szCs w:val="24"/>
        </w:rPr>
        <w:t xml:space="preserve"> świadczeń pieniężnych </w:t>
      </w:r>
      <w:r w:rsidR="007B4ECE" w:rsidRPr="00C4755C">
        <w:rPr>
          <w:rFonts w:cs="Times New Roman"/>
          <w:b/>
          <w:i/>
          <w:szCs w:val="24"/>
        </w:rPr>
        <w:t>oraz s</w:t>
      </w:r>
      <w:r w:rsidR="000C1142" w:rsidRPr="00C4755C">
        <w:rPr>
          <w:rFonts w:cs="Times New Roman"/>
          <w:b/>
          <w:i/>
          <w:szCs w:val="24"/>
        </w:rPr>
        <w:t>ankcje</w:t>
      </w:r>
      <w:r w:rsidR="00237194" w:rsidRPr="00C4755C">
        <w:rPr>
          <w:rFonts w:cs="Times New Roman"/>
          <w:b/>
          <w:i/>
          <w:szCs w:val="24"/>
        </w:rPr>
        <w:t xml:space="preserve"> </w:t>
      </w:r>
      <w:r w:rsidR="002224E9" w:rsidRPr="00C4755C">
        <w:rPr>
          <w:rFonts w:cs="Times New Roman"/>
          <w:b/>
          <w:i/>
          <w:szCs w:val="24"/>
        </w:rPr>
        <w:t xml:space="preserve">za nadmierne opóźnianie się </w:t>
      </w:r>
      <w:r w:rsidR="00851134" w:rsidRPr="00C4755C">
        <w:rPr>
          <w:rFonts w:cs="Times New Roman"/>
          <w:b/>
          <w:i/>
          <w:szCs w:val="24"/>
        </w:rPr>
        <w:t>w</w:t>
      </w:r>
      <w:r w:rsidR="002224E9" w:rsidRPr="00C4755C">
        <w:rPr>
          <w:rFonts w:cs="Times New Roman"/>
          <w:b/>
          <w:i/>
          <w:szCs w:val="24"/>
        </w:rPr>
        <w:t xml:space="preserve"> spełniani</w:t>
      </w:r>
      <w:r w:rsidR="00851134" w:rsidRPr="00C4755C">
        <w:rPr>
          <w:rFonts w:cs="Times New Roman"/>
          <w:b/>
          <w:i/>
          <w:szCs w:val="24"/>
        </w:rPr>
        <w:t>u</w:t>
      </w:r>
      <w:r w:rsidR="002224E9" w:rsidRPr="00C4755C">
        <w:rPr>
          <w:rFonts w:cs="Times New Roman"/>
          <w:b/>
          <w:i/>
          <w:szCs w:val="24"/>
        </w:rPr>
        <w:t xml:space="preserve"> świadczeń pieniężnych </w:t>
      </w:r>
      <w:r w:rsidR="00237194" w:rsidRPr="00C4755C">
        <w:rPr>
          <w:rFonts w:cs="Times New Roman"/>
          <w:b/>
          <w:i/>
          <w:szCs w:val="24"/>
        </w:rPr>
        <w:t>(art.</w:t>
      </w:r>
      <w:r w:rsidR="00C4755C">
        <w:rPr>
          <w:rFonts w:cs="Times New Roman"/>
          <w:b/>
          <w:i/>
          <w:szCs w:val="24"/>
        </w:rPr>
        <w:t xml:space="preserve"> </w:t>
      </w:r>
      <w:r w:rsidR="00B408AB" w:rsidRPr="00C4755C">
        <w:rPr>
          <w:rFonts w:cs="Times New Roman"/>
          <w:b/>
          <w:i/>
          <w:szCs w:val="24"/>
        </w:rPr>
        <w:t>13b</w:t>
      </w:r>
      <w:r w:rsidR="00C4755C">
        <w:rPr>
          <w:rFonts w:cs="Times New Roman"/>
          <w:b/>
          <w:i/>
          <w:szCs w:val="24"/>
        </w:rPr>
        <w:t>–</w:t>
      </w:r>
      <w:r w:rsidR="00153B49" w:rsidRPr="00C4755C">
        <w:rPr>
          <w:rFonts w:cs="Times New Roman"/>
          <w:b/>
          <w:i/>
          <w:szCs w:val="24"/>
        </w:rPr>
        <w:t>13y</w:t>
      </w:r>
      <w:r w:rsidR="00237194" w:rsidRPr="00C4755C">
        <w:rPr>
          <w:rFonts w:cs="Times New Roman"/>
          <w:b/>
          <w:i/>
          <w:szCs w:val="24"/>
        </w:rPr>
        <w:t>)</w:t>
      </w:r>
    </w:p>
    <w:p w14:paraId="2E70B722" w14:textId="5E69658E" w:rsidR="000D4B4B" w:rsidRPr="00C4755C" w:rsidRDefault="004D110B" w:rsidP="00BD2222">
      <w:pPr>
        <w:keepNext/>
        <w:widowControl/>
        <w:autoSpaceDE/>
        <w:autoSpaceDN/>
        <w:adjustRightInd/>
        <w:spacing w:before="120"/>
        <w:jc w:val="both"/>
        <w:rPr>
          <w:rFonts w:cs="Times New Roman"/>
          <w:szCs w:val="24"/>
        </w:rPr>
      </w:pPr>
      <w:r w:rsidRPr="00C4755C">
        <w:rPr>
          <w:rFonts w:cs="Times New Roman"/>
          <w:szCs w:val="24"/>
        </w:rPr>
        <w:t xml:space="preserve">Wiele podmiotów wskazuje na to, że stosowanie prywatnoprawnych rozwiązań okazuje się nieskuteczne w walce z zatorami płatniczymi. </w:t>
      </w:r>
      <w:r w:rsidR="00733DAF" w:rsidRPr="00C4755C">
        <w:rPr>
          <w:rFonts w:cs="Times New Roman"/>
          <w:szCs w:val="24"/>
        </w:rPr>
        <w:t>Część dłużników, mimo że otrzymuje zapłatę od swoich kontrahentów w terminie, celowo wykorzystuje swoj</w:t>
      </w:r>
      <w:r w:rsidRPr="00C4755C">
        <w:rPr>
          <w:rFonts w:cs="Times New Roman"/>
          <w:szCs w:val="24"/>
        </w:rPr>
        <w:t>ą</w:t>
      </w:r>
      <w:r w:rsidR="00733DAF" w:rsidRPr="00C4755C">
        <w:rPr>
          <w:rFonts w:cs="Times New Roman"/>
          <w:szCs w:val="24"/>
        </w:rPr>
        <w:t xml:space="preserve"> silną pozycję kontraktową i odwleka płatności. W rezultacie takich praktyk, niektórzy „silniejsi</w:t>
      </w:r>
      <w:r w:rsidR="0036103C" w:rsidRPr="00C4755C">
        <w:rPr>
          <w:rFonts w:cs="Times New Roman"/>
          <w:szCs w:val="24"/>
        </w:rPr>
        <w:t>” dłużnicy kredytują własną</w:t>
      </w:r>
      <w:r w:rsidR="00733DAF" w:rsidRPr="00C4755C">
        <w:rPr>
          <w:rFonts w:cs="Times New Roman"/>
          <w:szCs w:val="24"/>
        </w:rPr>
        <w:t xml:space="preserve"> działalność, kosztem swoich „słabszych” wierzycieli. Wzorem rozwiązań francuskich proponuje się wprowadzenie kar finansowych dla</w:t>
      </w:r>
      <w:r w:rsidR="009341D1" w:rsidRPr="00C4755C">
        <w:rPr>
          <w:rFonts w:cs="Times New Roman"/>
          <w:szCs w:val="24"/>
        </w:rPr>
        <w:t xml:space="preserve"> </w:t>
      </w:r>
      <w:r w:rsidR="000D0DC8" w:rsidRPr="00C4755C">
        <w:rPr>
          <w:rFonts w:cs="Times New Roman"/>
          <w:szCs w:val="24"/>
        </w:rPr>
        <w:t>podmiotów</w:t>
      </w:r>
      <w:r w:rsidR="00733DAF" w:rsidRPr="00C4755C">
        <w:rPr>
          <w:rFonts w:cs="Times New Roman"/>
          <w:szCs w:val="24"/>
        </w:rPr>
        <w:t>, które</w:t>
      </w:r>
      <w:r w:rsidR="002224E9" w:rsidRPr="00C4755C">
        <w:rPr>
          <w:rFonts w:cs="Times New Roman"/>
          <w:szCs w:val="24"/>
        </w:rPr>
        <w:t xml:space="preserve"> nadmiernie op</w:t>
      </w:r>
      <w:r w:rsidR="008B1FF7" w:rsidRPr="00C4755C">
        <w:rPr>
          <w:rFonts w:cs="Times New Roman"/>
          <w:szCs w:val="24"/>
        </w:rPr>
        <w:t>óź</w:t>
      </w:r>
      <w:r w:rsidR="002224E9" w:rsidRPr="00C4755C">
        <w:rPr>
          <w:rFonts w:cs="Times New Roman"/>
          <w:szCs w:val="24"/>
        </w:rPr>
        <w:t>niaj</w:t>
      </w:r>
      <w:r w:rsidR="007E6FAA" w:rsidRPr="00C4755C">
        <w:rPr>
          <w:rFonts w:cs="Times New Roman"/>
          <w:szCs w:val="24"/>
        </w:rPr>
        <w:t>ą</w:t>
      </w:r>
      <w:r w:rsidR="002224E9" w:rsidRPr="00C4755C">
        <w:rPr>
          <w:rFonts w:cs="Times New Roman"/>
          <w:szCs w:val="24"/>
        </w:rPr>
        <w:t xml:space="preserve"> się </w:t>
      </w:r>
      <w:r w:rsidR="00851134" w:rsidRPr="00C4755C">
        <w:rPr>
          <w:rFonts w:cs="Times New Roman"/>
          <w:szCs w:val="24"/>
        </w:rPr>
        <w:t>w</w:t>
      </w:r>
      <w:r w:rsidR="002224E9" w:rsidRPr="00C4755C">
        <w:rPr>
          <w:rFonts w:cs="Times New Roman"/>
          <w:szCs w:val="24"/>
        </w:rPr>
        <w:t xml:space="preserve"> spełnieni</w:t>
      </w:r>
      <w:r w:rsidR="00851134" w:rsidRPr="00C4755C">
        <w:rPr>
          <w:rFonts w:cs="Times New Roman"/>
          <w:szCs w:val="24"/>
        </w:rPr>
        <w:t>u</w:t>
      </w:r>
      <w:r w:rsidR="002224E9" w:rsidRPr="00C4755C">
        <w:rPr>
          <w:rFonts w:cs="Times New Roman"/>
          <w:szCs w:val="24"/>
        </w:rPr>
        <w:t xml:space="preserve"> swoich świadczeń pieniężnych wobec kontrahentów</w:t>
      </w:r>
      <w:r w:rsidR="00733DAF" w:rsidRPr="00C4755C">
        <w:rPr>
          <w:rFonts w:cs="Times New Roman"/>
          <w:szCs w:val="24"/>
        </w:rPr>
        <w:t>. W ten s</w:t>
      </w:r>
      <w:r w:rsidR="003765E6" w:rsidRPr="00C4755C">
        <w:rPr>
          <w:rFonts w:cs="Times New Roman"/>
          <w:szCs w:val="24"/>
        </w:rPr>
        <w:t>p</w:t>
      </w:r>
      <w:r w:rsidR="00733DAF" w:rsidRPr="00C4755C">
        <w:rPr>
          <w:rFonts w:cs="Times New Roman"/>
          <w:szCs w:val="24"/>
        </w:rPr>
        <w:t xml:space="preserve">osób powstanie realny mechanizm wymuszający </w:t>
      </w:r>
      <w:r w:rsidR="003765E6" w:rsidRPr="00C4755C">
        <w:rPr>
          <w:rFonts w:cs="Times New Roman"/>
          <w:szCs w:val="24"/>
        </w:rPr>
        <w:t>(</w:t>
      </w:r>
      <w:r w:rsidR="0036103C" w:rsidRPr="00C4755C">
        <w:rPr>
          <w:rFonts w:cs="Times New Roman"/>
          <w:szCs w:val="24"/>
        </w:rPr>
        <w:t>w</w:t>
      </w:r>
      <w:r w:rsidR="00584C51" w:rsidRPr="00C4755C">
        <w:rPr>
          <w:rFonts w:cs="Times New Roman"/>
          <w:szCs w:val="24"/>
        </w:rPr>
        <w:t xml:space="preserve"> </w:t>
      </w:r>
      <w:r w:rsidR="0036103C" w:rsidRPr="00C4755C">
        <w:rPr>
          <w:rFonts w:cs="Times New Roman"/>
          <w:szCs w:val="24"/>
        </w:rPr>
        <w:t>obawie</w:t>
      </w:r>
      <w:r w:rsidR="003765E6" w:rsidRPr="00C4755C">
        <w:rPr>
          <w:rFonts w:cs="Times New Roman"/>
          <w:szCs w:val="24"/>
        </w:rPr>
        <w:t xml:space="preserve"> przed sankcją) dokonywanie płatności w terminie. W projekcie zaproponowano, aby kara </w:t>
      </w:r>
      <w:r w:rsidR="003765E6" w:rsidRPr="00C4755C">
        <w:rPr>
          <w:rFonts w:cs="Times New Roman"/>
          <w:szCs w:val="24"/>
        </w:rPr>
        <w:lastRenderedPageBreak/>
        <w:t xml:space="preserve">pieniężna była nakładana na </w:t>
      </w:r>
      <w:r w:rsidR="001571F2" w:rsidRPr="00C4755C">
        <w:rPr>
          <w:rFonts w:cs="Times New Roman"/>
          <w:szCs w:val="24"/>
        </w:rPr>
        <w:t>podmioty, o których mowa w art. 2</w:t>
      </w:r>
      <w:r w:rsidR="000D3B55">
        <w:rPr>
          <w:rFonts w:cs="Times New Roman"/>
          <w:szCs w:val="24"/>
        </w:rPr>
        <w:t>,</w:t>
      </w:r>
      <w:r w:rsidR="00BA2465" w:rsidRPr="00C4755C">
        <w:rPr>
          <w:rFonts w:cs="Times New Roman"/>
          <w:szCs w:val="24"/>
        </w:rPr>
        <w:t xml:space="preserve"> </w:t>
      </w:r>
      <w:r w:rsidR="00D52DA1" w:rsidRPr="00C4755C">
        <w:rPr>
          <w:rFonts w:cs="Times New Roman"/>
          <w:szCs w:val="24"/>
        </w:rPr>
        <w:t xml:space="preserve">z wyłączeniem </w:t>
      </w:r>
      <w:r w:rsidR="00020972" w:rsidRPr="00C4755C">
        <w:rPr>
          <w:rFonts w:cs="Times New Roman"/>
          <w:szCs w:val="24"/>
        </w:rPr>
        <w:t>podmiot</w:t>
      </w:r>
      <w:r w:rsidR="00D52DA1" w:rsidRPr="00C4755C">
        <w:rPr>
          <w:rFonts w:cs="Times New Roman"/>
          <w:szCs w:val="24"/>
        </w:rPr>
        <w:t>ów</w:t>
      </w:r>
      <w:r w:rsidR="00020972" w:rsidRPr="00C4755C">
        <w:rPr>
          <w:rFonts w:cs="Times New Roman"/>
          <w:szCs w:val="24"/>
        </w:rPr>
        <w:t xml:space="preserve">, o których mowa w art. 3 ust. 1 pkt </w:t>
      </w:r>
      <w:r w:rsidR="00D52DA1" w:rsidRPr="00C4755C">
        <w:rPr>
          <w:rFonts w:cs="Times New Roman"/>
          <w:szCs w:val="24"/>
        </w:rPr>
        <w:t>1</w:t>
      </w:r>
      <w:r w:rsidR="00C4755C">
        <w:rPr>
          <w:rFonts w:cs="Times New Roman"/>
          <w:szCs w:val="24"/>
        </w:rPr>
        <w:t>–</w:t>
      </w:r>
      <w:r w:rsidR="00D52DA1" w:rsidRPr="00C4755C">
        <w:rPr>
          <w:rFonts w:cs="Times New Roman"/>
          <w:szCs w:val="24"/>
        </w:rPr>
        <w:t>3a</w:t>
      </w:r>
      <w:r w:rsidR="00020972" w:rsidRPr="00C4755C">
        <w:rPr>
          <w:rFonts w:cs="Times New Roman"/>
          <w:szCs w:val="24"/>
        </w:rPr>
        <w:t xml:space="preserve"> ust</w:t>
      </w:r>
      <w:r w:rsidR="00747744" w:rsidRPr="00C4755C">
        <w:rPr>
          <w:rFonts w:cs="Times New Roman"/>
          <w:szCs w:val="24"/>
        </w:rPr>
        <w:t>awy z dnia 29 stycznia 2004 r. –</w:t>
      </w:r>
      <w:r w:rsidR="00020972" w:rsidRPr="00C4755C">
        <w:rPr>
          <w:rFonts w:cs="Times New Roman"/>
          <w:szCs w:val="24"/>
        </w:rPr>
        <w:t xml:space="preserve"> Prawo zamówień publicznych</w:t>
      </w:r>
      <w:r w:rsidR="008B1FF7" w:rsidRPr="00C4755C">
        <w:rPr>
          <w:rFonts w:cs="Times New Roman"/>
          <w:szCs w:val="24"/>
        </w:rPr>
        <w:t>, w przypadku</w:t>
      </w:r>
      <w:r w:rsidR="002224E9" w:rsidRPr="00C4755C">
        <w:rPr>
          <w:rFonts w:cs="Times New Roman"/>
          <w:szCs w:val="24"/>
        </w:rPr>
        <w:t xml:space="preserve"> któr</w:t>
      </w:r>
      <w:r w:rsidR="008B1FF7" w:rsidRPr="00C4755C">
        <w:rPr>
          <w:rFonts w:cs="Times New Roman"/>
          <w:szCs w:val="24"/>
        </w:rPr>
        <w:t>ych</w:t>
      </w:r>
      <w:r w:rsidR="007B4ECE" w:rsidRPr="00C4755C">
        <w:rPr>
          <w:rFonts w:cs="Times New Roman"/>
          <w:szCs w:val="24"/>
        </w:rPr>
        <w:t xml:space="preserve"> suma </w:t>
      </w:r>
      <w:r w:rsidR="00020972" w:rsidRPr="00C4755C">
        <w:rPr>
          <w:rFonts w:cs="Times New Roman"/>
          <w:szCs w:val="24"/>
        </w:rPr>
        <w:t xml:space="preserve">wartości </w:t>
      </w:r>
      <w:r w:rsidR="007B4ECE" w:rsidRPr="00C4755C">
        <w:rPr>
          <w:rFonts w:cs="Times New Roman"/>
          <w:szCs w:val="24"/>
        </w:rPr>
        <w:t xml:space="preserve">świadczeń pieniężnych </w:t>
      </w:r>
      <w:r w:rsidR="00EC57B0" w:rsidRPr="00C4755C">
        <w:rPr>
          <w:rFonts w:cs="Times New Roman"/>
          <w:szCs w:val="24"/>
        </w:rPr>
        <w:t>(wynagrodzenia za dostawę towaru lub wykonanie usługi w transakcji handlowej)</w:t>
      </w:r>
      <w:r w:rsidR="00EC57B0" w:rsidRPr="00C4755C" w:rsidDel="00020972">
        <w:rPr>
          <w:rFonts w:cs="Times New Roman"/>
          <w:szCs w:val="24"/>
        </w:rPr>
        <w:t xml:space="preserve"> </w:t>
      </w:r>
      <w:r w:rsidR="00020972" w:rsidRPr="00C4755C">
        <w:rPr>
          <w:rFonts w:cs="Times New Roman"/>
          <w:szCs w:val="24"/>
        </w:rPr>
        <w:t>niespełnionych oraz spełnionych po terminie przez te podmioty</w:t>
      </w:r>
      <w:r w:rsidR="007B4ECE" w:rsidRPr="00C4755C">
        <w:rPr>
          <w:rFonts w:cs="Times New Roman"/>
          <w:szCs w:val="24"/>
        </w:rPr>
        <w:t xml:space="preserve"> w okresie 3 kolejnych miesięcy w</w:t>
      </w:r>
      <w:r w:rsidR="00747744" w:rsidRPr="00C4755C">
        <w:rPr>
          <w:rFonts w:cs="Times New Roman"/>
          <w:szCs w:val="24"/>
        </w:rPr>
        <w:t xml:space="preserve">ynosi co najmniej </w:t>
      </w:r>
      <w:r w:rsidR="00D52DA1" w:rsidRPr="00C4755C">
        <w:rPr>
          <w:rFonts w:cs="Times New Roman"/>
          <w:szCs w:val="24"/>
        </w:rPr>
        <w:t>2</w:t>
      </w:r>
      <w:r w:rsidR="00F1745F">
        <w:rPr>
          <w:rFonts w:cs="Times New Roman"/>
          <w:szCs w:val="24"/>
        </w:rPr>
        <w:t> </w:t>
      </w:r>
      <w:r w:rsidR="00D52DA1" w:rsidRPr="00C4755C">
        <w:rPr>
          <w:rFonts w:cs="Times New Roman"/>
          <w:szCs w:val="24"/>
        </w:rPr>
        <w:t>0</w:t>
      </w:r>
      <w:r w:rsidR="00747744" w:rsidRPr="00C4755C">
        <w:rPr>
          <w:rFonts w:cs="Times New Roman"/>
          <w:szCs w:val="24"/>
        </w:rPr>
        <w:t>00</w:t>
      </w:r>
      <w:r w:rsidR="00F1745F">
        <w:rPr>
          <w:rFonts w:cs="Times New Roman"/>
          <w:szCs w:val="24"/>
        </w:rPr>
        <w:t> </w:t>
      </w:r>
      <w:r w:rsidR="007B4ECE" w:rsidRPr="00C4755C">
        <w:rPr>
          <w:rFonts w:cs="Times New Roman"/>
          <w:szCs w:val="24"/>
        </w:rPr>
        <w:t>000 zł</w:t>
      </w:r>
      <w:r w:rsidR="00747744" w:rsidRPr="00C4755C">
        <w:rPr>
          <w:rFonts w:cs="Times New Roman"/>
          <w:szCs w:val="24"/>
        </w:rPr>
        <w:t>.</w:t>
      </w:r>
      <w:r w:rsidR="000D4B4B" w:rsidRPr="00C4755C">
        <w:rPr>
          <w:rFonts w:cs="Times New Roman"/>
          <w:szCs w:val="24"/>
        </w:rPr>
        <w:t xml:space="preserve"> W ten sposób postę</w:t>
      </w:r>
      <w:r w:rsidR="000A2A5B" w:rsidRPr="00C4755C">
        <w:rPr>
          <w:rFonts w:cs="Times New Roman"/>
          <w:szCs w:val="24"/>
        </w:rPr>
        <w:t>powaniem zostaną objęte podmioty, w stosunku do których stosuje się przepisy ustawy o terminach zapłaty, z wyjątkiem podmiotów publicznych</w:t>
      </w:r>
      <w:r w:rsidR="000D4B4B" w:rsidRPr="00C4755C">
        <w:rPr>
          <w:rFonts w:cs="Times New Roman"/>
          <w:szCs w:val="24"/>
        </w:rPr>
        <w:t xml:space="preserve"> zdefiniowanych jako:</w:t>
      </w:r>
    </w:p>
    <w:p w14:paraId="7057FEF2" w14:textId="53FEC6C4" w:rsidR="000D4B4B" w:rsidRPr="00C4755C" w:rsidRDefault="000D4B4B" w:rsidP="00367815">
      <w:pPr>
        <w:widowControl/>
        <w:tabs>
          <w:tab w:val="left" w:pos="308"/>
          <w:tab w:val="left" w:pos="709"/>
          <w:tab w:val="left" w:pos="2694"/>
        </w:tabs>
        <w:autoSpaceDE/>
        <w:autoSpaceDN/>
        <w:adjustRightInd/>
        <w:ind w:left="308" w:hanging="294"/>
        <w:jc w:val="both"/>
        <w:rPr>
          <w:rFonts w:cs="Times New Roman"/>
          <w:szCs w:val="24"/>
        </w:rPr>
      </w:pPr>
      <w:r w:rsidRPr="00C4755C">
        <w:rPr>
          <w:rFonts w:cs="Times New Roman"/>
          <w:szCs w:val="24"/>
        </w:rPr>
        <w:t>1)</w:t>
      </w:r>
      <w:r w:rsidR="00C4755C">
        <w:rPr>
          <w:rFonts w:cs="Times New Roman"/>
          <w:szCs w:val="24"/>
        </w:rPr>
        <w:tab/>
      </w:r>
      <w:r w:rsidRPr="00C4755C">
        <w:rPr>
          <w:rFonts w:cs="Times New Roman"/>
          <w:szCs w:val="24"/>
        </w:rPr>
        <w:t>jednostki sektora finansów publicznych w rozumieniu przepisów o finansach publicznych;</w:t>
      </w:r>
    </w:p>
    <w:p w14:paraId="7ADC72E3" w14:textId="537ED31C" w:rsidR="000D4B4B" w:rsidRPr="00C4755C" w:rsidRDefault="000D4B4B" w:rsidP="00367815">
      <w:pPr>
        <w:widowControl/>
        <w:tabs>
          <w:tab w:val="left" w:pos="308"/>
          <w:tab w:val="left" w:pos="709"/>
          <w:tab w:val="left" w:pos="2694"/>
        </w:tabs>
        <w:autoSpaceDE/>
        <w:autoSpaceDN/>
        <w:adjustRightInd/>
        <w:ind w:left="308" w:hanging="294"/>
        <w:jc w:val="both"/>
        <w:rPr>
          <w:rFonts w:cs="Times New Roman"/>
          <w:szCs w:val="24"/>
        </w:rPr>
      </w:pPr>
      <w:r w:rsidRPr="00C4755C">
        <w:rPr>
          <w:rFonts w:cs="Times New Roman"/>
          <w:szCs w:val="24"/>
        </w:rPr>
        <w:t>2)</w:t>
      </w:r>
      <w:r w:rsidR="00C4755C">
        <w:rPr>
          <w:rFonts w:cs="Times New Roman"/>
          <w:szCs w:val="24"/>
        </w:rPr>
        <w:tab/>
      </w:r>
      <w:r w:rsidRPr="00C4755C">
        <w:rPr>
          <w:rFonts w:cs="Times New Roman"/>
          <w:szCs w:val="24"/>
        </w:rPr>
        <w:t>inne, niż określone w pkt 1, państwowe jednostki organizacyjne nieposiadające osobowości prawnej;</w:t>
      </w:r>
    </w:p>
    <w:p w14:paraId="76305ABC" w14:textId="0A2EB027" w:rsidR="000D4B4B" w:rsidRPr="00C4755C" w:rsidRDefault="000D4B4B" w:rsidP="00367815">
      <w:pPr>
        <w:widowControl/>
        <w:tabs>
          <w:tab w:val="left" w:pos="308"/>
          <w:tab w:val="left" w:pos="709"/>
          <w:tab w:val="left" w:pos="2694"/>
        </w:tabs>
        <w:autoSpaceDE/>
        <w:autoSpaceDN/>
        <w:adjustRightInd/>
        <w:ind w:left="308" w:hanging="294"/>
        <w:jc w:val="both"/>
        <w:rPr>
          <w:rFonts w:cs="Times New Roman"/>
          <w:szCs w:val="24"/>
        </w:rPr>
      </w:pPr>
      <w:r w:rsidRPr="00C4755C">
        <w:rPr>
          <w:rFonts w:cs="Times New Roman"/>
          <w:szCs w:val="24"/>
        </w:rPr>
        <w:t>3)</w:t>
      </w:r>
      <w:r w:rsidR="00C4755C">
        <w:rPr>
          <w:rFonts w:cs="Times New Roman"/>
          <w:szCs w:val="24"/>
        </w:rPr>
        <w:tab/>
      </w:r>
      <w:r w:rsidRPr="00C4755C">
        <w:rPr>
          <w:rFonts w:cs="Times New Roman"/>
          <w:szCs w:val="24"/>
        </w:rPr>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14:paraId="3815CA45" w14:textId="77777777" w:rsidR="000D4B4B" w:rsidRPr="00C4755C" w:rsidRDefault="000D4B4B" w:rsidP="00367815">
      <w:pPr>
        <w:widowControl/>
        <w:numPr>
          <w:ilvl w:val="0"/>
          <w:numId w:val="37"/>
        </w:numPr>
        <w:autoSpaceDE/>
        <w:autoSpaceDN/>
        <w:adjustRightInd/>
        <w:ind w:left="728" w:hanging="392"/>
        <w:jc w:val="both"/>
        <w:rPr>
          <w:rFonts w:cs="Times New Roman"/>
          <w:szCs w:val="24"/>
        </w:rPr>
      </w:pPr>
      <w:r w:rsidRPr="00C4755C">
        <w:rPr>
          <w:rFonts w:cs="Times New Roman"/>
          <w:szCs w:val="24"/>
        </w:rPr>
        <w:t>finansują je w ponad 50% lub</w:t>
      </w:r>
    </w:p>
    <w:p w14:paraId="36FD892A" w14:textId="77777777" w:rsidR="000D4B4B" w:rsidRPr="00C4755C" w:rsidRDefault="000D4B4B" w:rsidP="00367815">
      <w:pPr>
        <w:widowControl/>
        <w:numPr>
          <w:ilvl w:val="0"/>
          <w:numId w:val="37"/>
        </w:numPr>
        <w:autoSpaceDE/>
        <w:autoSpaceDN/>
        <w:adjustRightInd/>
        <w:ind w:left="728" w:hanging="392"/>
        <w:jc w:val="both"/>
        <w:rPr>
          <w:rFonts w:cs="Times New Roman"/>
          <w:szCs w:val="24"/>
        </w:rPr>
      </w:pPr>
      <w:r w:rsidRPr="00C4755C">
        <w:rPr>
          <w:rFonts w:cs="Times New Roman"/>
          <w:szCs w:val="24"/>
        </w:rPr>
        <w:t>posiadają ponad połowę udziałów albo akcji, lub</w:t>
      </w:r>
    </w:p>
    <w:p w14:paraId="3783F0C4" w14:textId="77777777" w:rsidR="000D4B4B" w:rsidRPr="00C4755C" w:rsidRDefault="000D4B4B" w:rsidP="00367815">
      <w:pPr>
        <w:widowControl/>
        <w:numPr>
          <w:ilvl w:val="0"/>
          <w:numId w:val="37"/>
        </w:numPr>
        <w:autoSpaceDE/>
        <w:autoSpaceDN/>
        <w:adjustRightInd/>
        <w:ind w:left="728" w:hanging="392"/>
        <w:jc w:val="both"/>
        <w:rPr>
          <w:rFonts w:cs="Times New Roman"/>
          <w:szCs w:val="24"/>
        </w:rPr>
      </w:pPr>
      <w:r w:rsidRPr="00C4755C">
        <w:rPr>
          <w:rFonts w:cs="Times New Roman"/>
          <w:szCs w:val="24"/>
        </w:rPr>
        <w:t>sprawują nadzór nad organem zarządzającym, lub</w:t>
      </w:r>
    </w:p>
    <w:p w14:paraId="5BB8673E" w14:textId="77777777" w:rsidR="000D4B4B" w:rsidRPr="00C4755C" w:rsidRDefault="000D4B4B" w:rsidP="00367815">
      <w:pPr>
        <w:widowControl/>
        <w:numPr>
          <w:ilvl w:val="0"/>
          <w:numId w:val="37"/>
        </w:numPr>
        <w:autoSpaceDE/>
        <w:autoSpaceDN/>
        <w:adjustRightInd/>
        <w:ind w:left="728" w:hanging="392"/>
        <w:jc w:val="both"/>
        <w:rPr>
          <w:rFonts w:cs="Times New Roman"/>
          <w:szCs w:val="24"/>
        </w:rPr>
      </w:pPr>
      <w:r w:rsidRPr="00C4755C">
        <w:rPr>
          <w:rFonts w:cs="Times New Roman"/>
          <w:szCs w:val="24"/>
        </w:rPr>
        <w:t>mają prawo do powoływania ponad połowy składu organu nadzorczego lub zarządzającego</w:t>
      </w:r>
    </w:p>
    <w:p w14:paraId="4C5D9FC5" w14:textId="77777777" w:rsidR="000D4B4B" w:rsidRPr="00C4755C" w:rsidRDefault="000D4B4B" w:rsidP="00C4755C">
      <w:pPr>
        <w:spacing w:before="120"/>
        <w:jc w:val="both"/>
        <w:rPr>
          <w:rFonts w:cs="Times New Roman"/>
          <w:szCs w:val="24"/>
        </w:rPr>
      </w:pPr>
      <w:r w:rsidRPr="00C4755C">
        <w:rPr>
          <w:rFonts w:cs="Times New Roman"/>
          <w:szCs w:val="24"/>
        </w:rPr>
        <w:t>– o ile taka osoba prawna nie działa w zwykłych warunkach rynkowych, jej celem nie jest wypracowanie zysku i nie ponosi strat wynikających z prowadzenia działalności.</w:t>
      </w:r>
    </w:p>
    <w:p w14:paraId="3F1F8D28" w14:textId="6EDF042F" w:rsidR="00FE3AAF" w:rsidRPr="00C4755C" w:rsidRDefault="000D4B4B" w:rsidP="00C4755C">
      <w:pPr>
        <w:widowControl/>
        <w:autoSpaceDE/>
        <w:autoSpaceDN/>
        <w:adjustRightInd/>
        <w:spacing w:before="120"/>
        <w:jc w:val="both"/>
        <w:rPr>
          <w:rFonts w:cs="Times New Roman"/>
          <w:szCs w:val="24"/>
        </w:rPr>
      </w:pPr>
      <w:r w:rsidRPr="00C4755C">
        <w:rPr>
          <w:rFonts w:cs="Times New Roman"/>
          <w:szCs w:val="24"/>
        </w:rPr>
        <w:t xml:space="preserve">Oznacza to, że postępowanie UOKiK nie </w:t>
      </w:r>
      <w:r w:rsidR="00725E0E" w:rsidRPr="00C4755C">
        <w:rPr>
          <w:rFonts w:cs="Times New Roman"/>
          <w:szCs w:val="24"/>
        </w:rPr>
        <w:t>obejmie</w:t>
      </w:r>
      <w:r w:rsidRPr="00C4755C">
        <w:rPr>
          <w:rFonts w:cs="Times New Roman"/>
          <w:szCs w:val="24"/>
        </w:rPr>
        <w:t xml:space="preserve"> m.in. </w:t>
      </w:r>
      <w:r w:rsidR="00725E0E" w:rsidRPr="00C4755C">
        <w:rPr>
          <w:rFonts w:cs="Times New Roman"/>
          <w:szCs w:val="24"/>
        </w:rPr>
        <w:t>urzędów, uczelni, instytutów</w:t>
      </w:r>
      <w:r w:rsidRPr="00C4755C">
        <w:rPr>
          <w:rFonts w:cs="Times New Roman"/>
          <w:szCs w:val="24"/>
        </w:rPr>
        <w:t xml:space="preserve"> badawczych.</w:t>
      </w:r>
    </w:p>
    <w:p w14:paraId="0A2ED428" w14:textId="379A3946" w:rsidR="00DC34CE" w:rsidRPr="00C4755C" w:rsidRDefault="00AD2359" w:rsidP="00C4755C">
      <w:pPr>
        <w:widowControl/>
        <w:autoSpaceDE/>
        <w:autoSpaceDN/>
        <w:adjustRightInd/>
        <w:spacing w:before="120"/>
        <w:jc w:val="both"/>
        <w:rPr>
          <w:rFonts w:cs="Times New Roman"/>
          <w:szCs w:val="24"/>
        </w:rPr>
      </w:pPr>
      <w:r w:rsidRPr="00C4755C">
        <w:rPr>
          <w:rFonts w:cs="Times New Roman"/>
          <w:szCs w:val="24"/>
        </w:rPr>
        <w:t>Za wyłączeniem wskazanej grupy podmiotów przemawia fakt, że wszystkie podmioty wymienione w pkt 1 i 2 objęte są reż</w:t>
      </w:r>
      <w:r w:rsidR="00DC34CE" w:rsidRPr="00C4755C">
        <w:rPr>
          <w:rFonts w:cs="Times New Roman"/>
          <w:szCs w:val="24"/>
        </w:rPr>
        <w:t>imem ustawy</w:t>
      </w:r>
      <w:r w:rsidR="003656E9" w:rsidRPr="00C4755C">
        <w:rPr>
          <w:rFonts w:cs="Times New Roman"/>
          <w:szCs w:val="24"/>
        </w:rPr>
        <w:t xml:space="preserve"> z dnia 17 grudnia 2004 r. </w:t>
      </w:r>
      <w:r w:rsidR="009341D1" w:rsidRPr="00C4755C">
        <w:rPr>
          <w:rFonts w:cs="Times New Roman"/>
          <w:szCs w:val="24"/>
        </w:rPr>
        <w:t>o</w:t>
      </w:r>
      <w:r w:rsidR="00C4755C">
        <w:rPr>
          <w:rFonts w:cs="Times New Roman"/>
          <w:szCs w:val="24"/>
        </w:rPr>
        <w:t xml:space="preserve"> </w:t>
      </w:r>
      <w:r w:rsidR="00DC34CE" w:rsidRPr="00C4755C">
        <w:rPr>
          <w:rFonts w:cs="Times New Roman"/>
          <w:szCs w:val="24"/>
        </w:rPr>
        <w:t>odpowiedzialności za naruszenie dyscypliny finansów publicznych, która sankcjonuje m.in. nieterminowe regulowanie zobowiązań.</w:t>
      </w:r>
      <w:r w:rsidR="003656E9" w:rsidRPr="00C4755C">
        <w:rPr>
          <w:rFonts w:cs="Times New Roman"/>
          <w:szCs w:val="24"/>
        </w:rPr>
        <w:t xml:space="preserve"> Odpowiedzialność ta adresowana jest do osób fizycznych pełniących określone funkcje w strukturach tych podmiotów.</w:t>
      </w:r>
    </w:p>
    <w:p w14:paraId="342B7DC7" w14:textId="762CA105" w:rsidR="00AD2359" w:rsidRPr="00C4755C" w:rsidRDefault="00DC34CE" w:rsidP="00C4755C">
      <w:pPr>
        <w:widowControl/>
        <w:autoSpaceDE/>
        <w:autoSpaceDN/>
        <w:adjustRightInd/>
        <w:spacing w:before="120"/>
        <w:jc w:val="both"/>
        <w:rPr>
          <w:rFonts w:cs="Times New Roman"/>
          <w:szCs w:val="24"/>
        </w:rPr>
      </w:pPr>
      <w:r w:rsidRPr="00C4755C">
        <w:rPr>
          <w:rFonts w:cs="Times New Roman"/>
          <w:szCs w:val="24"/>
        </w:rPr>
        <w:lastRenderedPageBreak/>
        <w:t>Z kolei</w:t>
      </w:r>
      <w:r w:rsidR="00BA2465" w:rsidRPr="00C4755C">
        <w:rPr>
          <w:rFonts w:cs="Times New Roman"/>
          <w:szCs w:val="24"/>
        </w:rPr>
        <w:t xml:space="preserve"> </w:t>
      </w:r>
      <w:r w:rsidRPr="00C4755C">
        <w:rPr>
          <w:rFonts w:cs="Times New Roman"/>
          <w:szCs w:val="24"/>
        </w:rPr>
        <w:t xml:space="preserve">wyłączenie podmiotów wskazanych w pkt 3 </w:t>
      </w:r>
      <w:r w:rsidR="003656E9" w:rsidRPr="00C4755C">
        <w:rPr>
          <w:rFonts w:cs="Times New Roman"/>
          <w:szCs w:val="24"/>
        </w:rPr>
        <w:t xml:space="preserve">– do których również w określonych przypadkach zastosowanie znajdzie ustawa z dnia 17 grudnia 2004 r. o odpowiedzialności za naruszenie dyscypliny finansów publicznych – </w:t>
      </w:r>
      <w:r w:rsidRPr="00C4755C">
        <w:rPr>
          <w:rFonts w:cs="Times New Roman"/>
          <w:szCs w:val="24"/>
        </w:rPr>
        <w:t xml:space="preserve">wynika z charakteru ich działalności </w:t>
      </w:r>
      <w:r w:rsidR="003656E9" w:rsidRPr="00C4755C">
        <w:rPr>
          <w:rFonts w:cs="Times New Roman"/>
          <w:szCs w:val="24"/>
        </w:rPr>
        <w:t>polegającej na</w:t>
      </w:r>
      <w:r w:rsidRPr="00C4755C">
        <w:rPr>
          <w:rFonts w:cs="Times New Roman"/>
          <w:szCs w:val="24"/>
        </w:rPr>
        <w:t xml:space="preserve"> zaspokajani</w:t>
      </w:r>
      <w:r w:rsidR="003656E9" w:rsidRPr="00C4755C">
        <w:rPr>
          <w:rFonts w:cs="Times New Roman"/>
          <w:szCs w:val="24"/>
        </w:rPr>
        <w:t>u</w:t>
      </w:r>
      <w:r w:rsidRPr="00C4755C">
        <w:rPr>
          <w:rFonts w:cs="Times New Roman"/>
          <w:szCs w:val="24"/>
        </w:rPr>
        <w:t xml:space="preserve"> potrzeb o charakterze powszechnym niemających charakteru przemysłowego ani handlowego.</w:t>
      </w:r>
    </w:p>
    <w:p w14:paraId="33B1F2E6" w14:textId="66DFB025" w:rsidR="00FE3AAF" w:rsidRPr="00C4755C" w:rsidRDefault="00FE3AAF" w:rsidP="00C4755C">
      <w:pPr>
        <w:spacing w:before="120"/>
        <w:jc w:val="both"/>
        <w:rPr>
          <w:rFonts w:cs="Times New Roman"/>
          <w:bCs/>
          <w:szCs w:val="24"/>
        </w:rPr>
      </w:pPr>
      <w:r w:rsidRPr="00C4755C">
        <w:rPr>
          <w:rFonts w:cs="Times New Roman"/>
          <w:szCs w:val="24"/>
        </w:rPr>
        <w:t>W pierwszych latach obowiązywania nowych przepisów suma wartości świadczeń pieniężnych niespełnionych oraz spełnionych po terminie, w przypadku postępowań wszczętych</w:t>
      </w:r>
      <w:r w:rsidR="00EB690D" w:rsidRPr="00C4755C">
        <w:rPr>
          <w:rFonts w:cs="Times New Roman"/>
          <w:szCs w:val="24"/>
        </w:rPr>
        <w:t xml:space="preserve"> </w:t>
      </w:r>
      <w:r w:rsidR="00747744" w:rsidRPr="00C4755C">
        <w:rPr>
          <w:rFonts w:cs="Times New Roman"/>
          <w:bCs/>
          <w:szCs w:val="24"/>
        </w:rPr>
        <w:t>w 2020</w:t>
      </w:r>
      <w:r w:rsidR="00CE1088" w:rsidRPr="00C4755C">
        <w:rPr>
          <w:rFonts w:cs="Times New Roman"/>
          <w:bCs/>
          <w:szCs w:val="24"/>
        </w:rPr>
        <w:t xml:space="preserve"> </w:t>
      </w:r>
      <w:r w:rsidR="00CD5E78" w:rsidRPr="00C4755C">
        <w:rPr>
          <w:rFonts w:cs="Times New Roman"/>
          <w:bCs/>
          <w:szCs w:val="24"/>
        </w:rPr>
        <w:t xml:space="preserve">i w </w:t>
      </w:r>
      <w:r w:rsidR="00CE1088" w:rsidRPr="00C4755C">
        <w:rPr>
          <w:rFonts w:cs="Times New Roman"/>
          <w:bCs/>
          <w:szCs w:val="24"/>
        </w:rPr>
        <w:t>2021 r</w:t>
      </w:r>
      <w:r w:rsidR="00CD5E78" w:rsidRPr="00C4755C">
        <w:rPr>
          <w:rFonts w:cs="Times New Roman"/>
          <w:bCs/>
          <w:szCs w:val="24"/>
        </w:rPr>
        <w:t>oku</w:t>
      </w:r>
      <w:r w:rsidR="00747744" w:rsidRPr="00C4755C">
        <w:rPr>
          <w:rFonts w:cs="Times New Roman"/>
          <w:bCs/>
          <w:szCs w:val="24"/>
        </w:rPr>
        <w:t xml:space="preserve"> –</w:t>
      </w:r>
      <w:r w:rsidRPr="00C4755C">
        <w:rPr>
          <w:rFonts w:cs="Times New Roman"/>
          <w:bCs/>
          <w:szCs w:val="24"/>
        </w:rPr>
        <w:t xml:space="preserve"> </w:t>
      </w:r>
      <w:r w:rsidRPr="00C4755C">
        <w:rPr>
          <w:rFonts w:cs="Times New Roman"/>
          <w:szCs w:val="24"/>
        </w:rPr>
        <w:t>będzie ustalona na poziomie</w:t>
      </w:r>
      <w:r w:rsidR="00747744" w:rsidRPr="00C4755C">
        <w:rPr>
          <w:rFonts w:cs="Times New Roman"/>
          <w:bCs/>
          <w:szCs w:val="24"/>
        </w:rPr>
        <w:t xml:space="preserve"> 5</w:t>
      </w:r>
      <w:r w:rsidR="00F1745F">
        <w:rPr>
          <w:rFonts w:cs="Times New Roman"/>
          <w:bCs/>
          <w:szCs w:val="24"/>
        </w:rPr>
        <w:t> </w:t>
      </w:r>
      <w:r w:rsidRPr="00C4755C">
        <w:rPr>
          <w:rFonts w:cs="Times New Roman"/>
          <w:bCs/>
          <w:szCs w:val="24"/>
        </w:rPr>
        <w:t>000</w:t>
      </w:r>
      <w:r w:rsidR="00F1745F">
        <w:rPr>
          <w:rFonts w:cs="Times New Roman"/>
          <w:bCs/>
          <w:szCs w:val="24"/>
        </w:rPr>
        <w:t> </w:t>
      </w:r>
      <w:r w:rsidRPr="00C4755C">
        <w:rPr>
          <w:rFonts w:cs="Times New Roman"/>
          <w:bCs/>
          <w:szCs w:val="24"/>
        </w:rPr>
        <w:t>000 złotych</w:t>
      </w:r>
      <w:r w:rsidR="00CE1088" w:rsidRPr="00C4755C">
        <w:rPr>
          <w:rFonts w:cs="Times New Roman"/>
          <w:bCs/>
          <w:szCs w:val="24"/>
        </w:rPr>
        <w:t>.</w:t>
      </w:r>
    </w:p>
    <w:p w14:paraId="60D25A2F" w14:textId="79F95138" w:rsidR="004D3E22" w:rsidRPr="00C4755C" w:rsidRDefault="004D3E22" w:rsidP="00C4755C">
      <w:pPr>
        <w:spacing w:before="120"/>
        <w:jc w:val="both"/>
        <w:rPr>
          <w:rFonts w:cs="Times New Roman"/>
          <w:bCs/>
          <w:szCs w:val="24"/>
        </w:rPr>
      </w:pPr>
      <w:r w:rsidRPr="00C4755C">
        <w:rPr>
          <w:rFonts w:cs="Times New Roman"/>
          <w:bCs/>
          <w:szCs w:val="24"/>
        </w:rPr>
        <w:t xml:space="preserve">Stopniowe dojście do wartości </w:t>
      </w:r>
      <w:r w:rsidR="00CE1088" w:rsidRPr="00C4755C">
        <w:rPr>
          <w:rFonts w:cs="Times New Roman"/>
          <w:bCs/>
          <w:szCs w:val="24"/>
        </w:rPr>
        <w:t>2</w:t>
      </w:r>
      <w:r w:rsidR="00F1745F">
        <w:rPr>
          <w:rFonts w:cs="Times New Roman"/>
          <w:bCs/>
          <w:szCs w:val="24"/>
        </w:rPr>
        <w:t> </w:t>
      </w:r>
      <w:r w:rsidR="00CE1088" w:rsidRPr="00C4755C">
        <w:rPr>
          <w:rFonts w:cs="Times New Roman"/>
          <w:bCs/>
          <w:szCs w:val="24"/>
        </w:rPr>
        <w:t>0</w:t>
      </w:r>
      <w:r w:rsidRPr="00C4755C">
        <w:rPr>
          <w:rFonts w:cs="Times New Roman"/>
          <w:bCs/>
          <w:szCs w:val="24"/>
        </w:rPr>
        <w:t>00</w:t>
      </w:r>
      <w:r w:rsidR="00F1745F">
        <w:rPr>
          <w:rFonts w:cs="Times New Roman"/>
          <w:bCs/>
          <w:szCs w:val="24"/>
        </w:rPr>
        <w:t> </w:t>
      </w:r>
      <w:r w:rsidRPr="00C4755C">
        <w:rPr>
          <w:rFonts w:cs="Times New Roman"/>
          <w:bCs/>
          <w:szCs w:val="24"/>
        </w:rPr>
        <w:t>000 zł zapewni dłuższy czas podmiotom na dostosowanie się do nowych regulacji.</w:t>
      </w:r>
    </w:p>
    <w:p w14:paraId="1BF72F2E" w14:textId="4EE802AD" w:rsidR="000247E6" w:rsidRPr="00C4755C" w:rsidRDefault="003765E6" w:rsidP="00C4755C">
      <w:pPr>
        <w:spacing w:before="120"/>
        <w:jc w:val="both"/>
        <w:rPr>
          <w:rFonts w:cs="Times New Roman"/>
          <w:szCs w:val="24"/>
        </w:rPr>
      </w:pPr>
      <w:r w:rsidRPr="00C4755C">
        <w:rPr>
          <w:rFonts w:cs="Times New Roman"/>
          <w:szCs w:val="24"/>
        </w:rPr>
        <w:t xml:space="preserve">Kara będzie nakładana przez </w:t>
      </w:r>
      <w:r w:rsidR="00361E8F" w:rsidRPr="00C4755C">
        <w:rPr>
          <w:rFonts w:cs="Times New Roman"/>
          <w:szCs w:val="24"/>
        </w:rPr>
        <w:t>P</w:t>
      </w:r>
      <w:r w:rsidR="007B4ECE" w:rsidRPr="00C4755C">
        <w:rPr>
          <w:rFonts w:cs="Times New Roman"/>
          <w:szCs w:val="24"/>
        </w:rPr>
        <w:t>rezesa Urzędu Ochrony Konkurencji i Konsumentów</w:t>
      </w:r>
      <w:r w:rsidR="0036103C" w:rsidRPr="00C4755C">
        <w:rPr>
          <w:rFonts w:cs="Times New Roman"/>
          <w:szCs w:val="24"/>
        </w:rPr>
        <w:t xml:space="preserve"> w</w:t>
      </w:r>
      <w:r w:rsidR="00C4755C">
        <w:rPr>
          <w:rFonts w:cs="Times New Roman"/>
          <w:szCs w:val="24"/>
        </w:rPr>
        <w:t xml:space="preserve"> </w:t>
      </w:r>
      <w:r w:rsidRPr="00C4755C">
        <w:rPr>
          <w:rFonts w:cs="Times New Roman"/>
          <w:szCs w:val="24"/>
        </w:rPr>
        <w:t xml:space="preserve">wysokości </w:t>
      </w:r>
      <w:r w:rsidR="007B4ECE" w:rsidRPr="00C4755C">
        <w:rPr>
          <w:rFonts w:cs="Times New Roman"/>
          <w:szCs w:val="24"/>
        </w:rPr>
        <w:t xml:space="preserve">równej sumie kar jednostkowych za każde </w:t>
      </w:r>
      <w:r w:rsidR="00911C9D" w:rsidRPr="00C4755C">
        <w:rPr>
          <w:rFonts w:cs="Times New Roman"/>
          <w:szCs w:val="24"/>
        </w:rPr>
        <w:t xml:space="preserve">niespełnione oraz spełnione po terminie </w:t>
      </w:r>
      <w:r w:rsidR="007B4ECE" w:rsidRPr="00C4755C">
        <w:rPr>
          <w:rFonts w:cs="Times New Roman"/>
          <w:szCs w:val="24"/>
        </w:rPr>
        <w:t>świadczenie pieniężne</w:t>
      </w:r>
      <w:r w:rsidR="00911C9D" w:rsidRPr="00C4755C">
        <w:rPr>
          <w:rFonts w:cs="Times New Roman"/>
          <w:szCs w:val="24"/>
        </w:rPr>
        <w:t>,</w:t>
      </w:r>
      <w:r w:rsidR="007B4ECE" w:rsidRPr="00C4755C">
        <w:rPr>
          <w:rFonts w:cs="Times New Roman"/>
          <w:szCs w:val="24"/>
        </w:rPr>
        <w:t xml:space="preserve"> </w:t>
      </w:r>
      <w:r w:rsidR="00361E8F" w:rsidRPr="00C4755C">
        <w:rPr>
          <w:rFonts w:cs="Times New Roman"/>
          <w:szCs w:val="24"/>
        </w:rPr>
        <w:t xml:space="preserve">które było wymagalne w okresie objętym </w:t>
      </w:r>
      <w:r w:rsidR="00911C9D" w:rsidRPr="00C4755C">
        <w:rPr>
          <w:rFonts w:cs="Times New Roman"/>
          <w:szCs w:val="24"/>
        </w:rPr>
        <w:t>postępowaniem</w:t>
      </w:r>
      <w:r w:rsidR="00361E8F" w:rsidRPr="00C4755C">
        <w:rPr>
          <w:rFonts w:cs="Times New Roman"/>
          <w:szCs w:val="24"/>
        </w:rPr>
        <w:t xml:space="preserve">, </w:t>
      </w:r>
      <w:r w:rsidR="00911C9D" w:rsidRPr="00C4755C">
        <w:rPr>
          <w:rFonts w:cs="Times New Roman"/>
          <w:szCs w:val="24"/>
        </w:rPr>
        <w:t>z pominięciem świadczeń pieniężnych, w przypadku których termin ich spełnienia upłynął wcześniej niż 2 lata przed dniem wszczęcia postępowania</w:t>
      </w:r>
      <w:r w:rsidR="007B4ECE" w:rsidRPr="00C4755C">
        <w:rPr>
          <w:rFonts w:cs="Times New Roman"/>
          <w:szCs w:val="24"/>
        </w:rPr>
        <w:t xml:space="preserve">. Tak obliczana kara będzie zależna od okresu opóźnienia. </w:t>
      </w:r>
      <w:r w:rsidR="00A06CCB" w:rsidRPr="00C4755C">
        <w:rPr>
          <w:rFonts w:cs="Times New Roman"/>
          <w:szCs w:val="24"/>
        </w:rPr>
        <w:t>Zaproponowano, aby Pr</w:t>
      </w:r>
      <w:r w:rsidR="007B4ECE" w:rsidRPr="00C4755C">
        <w:rPr>
          <w:rFonts w:cs="Times New Roman"/>
          <w:szCs w:val="24"/>
        </w:rPr>
        <w:t>eze</w:t>
      </w:r>
      <w:r w:rsidR="00A06CCB" w:rsidRPr="00C4755C">
        <w:rPr>
          <w:rFonts w:cs="Times New Roman"/>
          <w:szCs w:val="24"/>
        </w:rPr>
        <w:t>s</w:t>
      </w:r>
      <w:r w:rsidR="007B4ECE" w:rsidRPr="00C4755C">
        <w:rPr>
          <w:rFonts w:cs="Times New Roman"/>
          <w:szCs w:val="24"/>
        </w:rPr>
        <w:t xml:space="preserve"> UOKiK </w:t>
      </w:r>
      <w:r w:rsidR="00A06CCB" w:rsidRPr="00C4755C">
        <w:rPr>
          <w:rFonts w:cs="Times New Roman"/>
          <w:szCs w:val="24"/>
        </w:rPr>
        <w:t>obniż</w:t>
      </w:r>
      <w:r w:rsidR="00911C9D" w:rsidRPr="00C4755C">
        <w:rPr>
          <w:rFonts w:cs="Times New Roman"/>
          <w:szCs w:val="24"/>
        </w:rPr>
        <w:t>ał</w:t>
      </w:r>
      <w:r w:rsidR="00A06CCB" w:rsidRPr="00C4755C">
        <w:rPr>
          <w:rFonts w:cs="Times New Roman"/>
          <w:szCs w:val="24"/>
        </w:rPr>
        <w:t xml:space="preserve"> karę</w:t>
      </w:r>
      <w:r w:rsidR="00E460CE" w:rsidRPr="00C4755C">
        <w:rPr>
          <w:rFonts w:cs="Times New Roman"/>
          <w:szCs w:val="24"/>
        </w:rPr>
        <w:t>,</w:t>
      </w:r>
      <w:r w:rsidR="00F3246B" w:rsidRPr="00C4755C">
        <w:rPr>
          <w:rFonts w:cs="Times New Roman"/>
          <w:szCs w:val="24"/>
        </w:rPr>
        <w:t xml:space="preserve"> w</w:t>
      </w:r>
      <w:r w:rsidR="00C4755C">
        <w:rPr>
          <w:rFonts w:cs="Times New Roman"/>
          <w:szCs w:val="24"/>
        </w:rPr>
        <w:t xml:space="preserve"> </w:t>
      </w:r>
      <w:r w:rsidR="00A06CCB" w:rsidRPr="00C4755C">
        <w:rPr>
          <w:rFonts w:cs="Times New Roman"/>
          <w:szCs w:val="24"/>
        </w:rPr>
        <w:t xml:space="preserve">przypadku gdy dłużnik </w:t>
      </w:r>
      <w:r w:rsidR="00911C9D" w:rsidRPr="00C4755C">
        <w:rPr>
          <w:rFonts w:cs="Times New Roman"/>
          <w:szCs w:val="24"/>
        </w:rPr>
        <w:t>jeszcze przed wszczęciem postępowania spełnił wszystkie świadczenia pieniężne, za które obliczono jednostkowe kary, wraz z odsetkami ustawowymi za opóźnienie w transakcjach handlowych lub spełnił</w:t>
      </w:r>
      <w:r w:rsidR="00F3246B" w:rsidRPr="00C4755C">
        <w:rPr>
          <w:rFonts w:cs="Times New Roman"/>
          <w:szCs w:val="24"/>
        </w:rPr>
        <w:t xml:space="preserve"> je nie później niż w</w:t>
      </w:r>
      <w:r w:rsidR="00C4755C">
        <w:rPr>
          <w:rFonts w:cs="Times New Roman"/>
          <w:szCs w:val="24"/>
        </w:rPr>
        <w:t xml:space="preserve"> </w:t>
      </w:r>
      <w:r w:rsidR="00911C9D" w:rsidRPr="00C4755C">
        <w:rPr>
          <w:rFonts w:cs="Times New Roman"/>
          <w:szCs w:val="24"/>
        </w:rPr>
        <w:t>terminie 14 dni od dnia wszczęcia postępowania</w:t>
      </w:r>
      <w:r w:rsidR="00A06CCB" w:rsidRPr="00C4755C">
        <w:rPr>
          <w:rFonts w:cs="Times New Roman"/>
          <w:szCs w:val="24"/>
        </w:rPr>
        <w:t>.</w:t>
      </w:r>
      <w:r w:rsidR="00361E8F" w:rsidRPr="00C4755C">
        <w:rPr>
          <w:rFonts w:cs="Times New Roman"/>
          <w:szCs w:val="24"/>
        </w:rPr>
        <w:t xml:space="preserve"> Wyższe obniżenie kary będzie mógł uzyskać dłużnik, który poza spełnieniem wymienionych wyżej warunków, dodatkowo </w:t>
      </w:r>
      <w:r w:rsidR="00F3246B" w:rsidRPr="00C4755C">
        <w:rPr>
          <w:rFonts w:cs="Times New Roman"/>
          <w:szCs w:val="24"/>
        </w:rPr>
        <w:t>w</w:t>
      </w:r>
      <w:r w:rsidR="00C4755C">
        <w:rPr>
          <w:rFonts w:cs="Times New Roman"/>
          <w:szCs w:val="24"/>
        </w:rPr>
        <w:t xml:space="preserve"> </w:t>
      </w:r>
      <w:r w:rsidR="00361E8F" w:rsidRPr="00C4755C">
        <w:rPr>
          <w:rFonts w:cs="Times New Roman"/>
          <w:szCs w:val="24"/>
        </w:rPr>
        <w:t xml:space="preserve">terminie 14 dni od dnia </w:t>
      </w:r>
      <w:r w:rsidR="00911C9D" w:rsidRPr="00C4755C">
        <w:rPr>
          <w:rFonts w:cs="Times New Roman"/>
          <w:szCs w:val="24"/>
        </w:rPr>
        <w:t xml:space="preserve">doręczenia </w:t>
      </w:r>
      <w:r w:rsidR="00361E8F" w:rsidRPr="00C4755C">
        <w:rPr>
          <w:rFonts w:cs="Times New Roman"/>
          <w:szCs w:val="24"/>
        </w:rPr>
        <w:t>decyzji uiści nałożon</w:t>
      </w:r>
      <w:r w:rsidR="009341D1" w:rsidRPr="00C4755C">
        <w:rPr>
          <w:rFonts w:cs="Times New Roman"/>
          <w:szCs w:val="24"/>
        </w:rPr>
        <w:t xml:space="preserve">ą karę w całości i zrzeknie się </w:t>
      </w:r>
      <w:r w:rsidR="00361E8F" w:rsidRPr="00C4755C">
        <w:rPr>
          <w:rFonts w:cs="Times New Roman"/>
          <w:szCs w:val="24"/>
        </w:rPr>
        <w:t>wobec organu prawa do złożenia wniosku o ponowne rozpatrzenie sprawy.</w:t>
      </w:r>
    </w:p>
    <w:p w14:paraId="4A253A22" w14:textId="6AA7F153" w:rsidR="0036103C" w:rsidRPr="00C4755C" w:rsidRDefault="00A06CCB" w:rsidP="00931E30">
      <w:pPr>
        <w:widowControl/>
        <w:spacing w:before="120"/>
        <w:jc w:val="both"/>
        <w:rPr>
          <w:rFonts w:cs="Times New Roman"/>
          <w:szCs w:val="24"/>
        </w:rPr>
      </w:pPr>
      <w:r w:rsidRPr="00C4755C">
        <w:rPr>
          <w:rFonts w:cs="Times New Roman"/>
          <w:szCs w:val="24"/>
        </w:rPr>
        <w:t xml:space="preserve">Natomiast, gdy </w:t>
      </w:r>
      <w:r w:rsidR="00524926" w:rsidRPr="00C4755C">
        <w:rPr>
          <w:rFonts w:cs="Times New Roman"/>
          <w:szCs w:val="24"/>
        </w:rPr>
        <w:t>w okresie dwóch lat od dnia, w którym decyzja o nałożeniu kary stała się ostateczna</w:t>
      </w:r>
      <w:r w:rsidR="000D3B55">
        <w:rPr>
          <w:rFonts w:cs="Times New Roman"/>
          <w:szCs w:val="24"/>
        </w:rPr>
        <w:t>,</w:t>
      </w:r>
      <w:r w:rsidR="00524926" w:rsidRPr="00C4755C">
        <w:rPr>
          <w:rFonts w:cs="Times New Roman"/>
          <w:szCs w:val="24"/>
        </w:rPr>
        <w:t xml:space="preserve"> organ ponownie stwierdzi nadmierne opóźnianie się ze spełnianiem świadczeń pieniężnych przez ten sam podmiot, na który została nałożona ta kara, </w:t>
      </w:r>
      <w:r w:rsidR="00361E8F" w:rsidRPr="00C4755C">
        <w:rPr>
          <w:rFonts w:cs="Times New Roman"/>
          <w:szCs w:val="24"/>
        </w:rPr>
        <w:t>ponowna</w:t>
      </w:r>
      <w:r w:rsidRPr="00C4755C">
        <w:rPr>
          <w:rFonts w:cs="Times New Roman"/>
          <w:szCs w:val="24"/>
        </w:rPr>
        <w:t xml:space="preserve"> </w:t>
      </w:r>
      <w:r w:rsidR="00B25B13" w:rsidRPr="00C4755C">
        <w:rPr>
          <w:rFonts w:cs="Times New Roman"/>
          <w:szCs w:val="24"/>
        </w:rPr>
        <w:t xml:space="preserve">administracyjna </w:t>
      </w:r>
      <w:r w:rsidRPr="00C4755C">
        <w:rPr>
          <w:rFonts w:cs="Times New Roman"/>
          <w:szCs w:val="24"/>
        </w:rPr>
        <w:t xml:space="preserve">kara </w:t>
      </w:r>
      <w:r w:rsidR="00DF634D" w:rsidRPr="00C4755C">
        <w:rPr>
          <w:rFonts w:cs="Times New Roman"/>
          <w:szCs w:val="24"/>
        </w:rPr>
        <w:t xml:space="preserve">pieniężna </w:t>
      </w:r>
      <w:r w:rsidRPr="00C4755C">
        <w:rPr>
          <w:rFonts w:cs="Times New Roman"/>
          <w:szCs w:val="24"/>
        </w:rPr>
        <w:t>będzie podlegała podwyższeniu</w:t>
      </w:r>
      <w:r w:rsidR="00524926" w:rsidRPr="00C4755C">
        <w:rPr>
          <w:rFonts w:cs="Times New Roman"/>
          <w:szCs w:val="24"/>
        </w:rPr>
        <w:t xml:space="preserve"> o 50%</w:t>
      </w:r>
      <w:r w:rsidR="00361E8F" w:rsidRPr="00C4755C">
        <w:rPr>
          <w:rFonts w:cs="Times New Roman"/>
          <w:szCs w:val="24"/>
        </w:rPr>
        <w:t>, bez możliwości jej obniżenia</w:t>
      </w:r>
      <w:r w:rsidRPr="00C4755C">
        <w:rPr>
          <w:rFonts w:cs="Times New Roman"/>
          <w:szCs w:val="24"/>
        </w:rPr>
        <w:t xml:space="preserve">. </w:t>
      </w:r>
      <w:r w:rsidR="00823CCE" w:rsidRPr="00C4755C">
        <w:rPr>
          <w:rFonts w:cs="Times New Roman"/>
          <w:szCs w:val="24"/>
        </w:rPr>
        <w:t xml:space="preserve">Środki uzyskane z tytułu kary </w:t>
      </w:r>
      <w:r w:rsidR="00697D37" w:rsidRPr="00C4755C">
        <w:rPr>
          <w:rFonts w:cs="Times New Roman"/>
          <w:szCs w:val="24"/>
        </w:rPr>
        <w:t>będą stano</w:t>
      </w:r>
      <w:r w:rsidR="000C61F4" w:rsidRPr="00C4755C">
        <w:rPr>
          <w:rFonts w:cs="Times New Roman"/>
          <w:szCs w:val="24"/>
        </w:rPr>
        <w:t xml:space="preserve">wiły </w:t>
      </w:r>
      <w:r w:rsidR="008448E7" w:rsidRPr="00C4755C">
        <w:rPr>
          <w:rFonts w:cs="Times New Roman"/>
          <w:szCs w:val="24"/>
        </w:rPr>
        <w:t xml:space="preserve">dochody </w:t>
      </w:r>
      <w:r w:rsidR="000C61F4" w:rsidRPr="00C4755C">
        <w:rPr>
          <w:rFonts w:cs="Times New Roman"/>
          <w:szCs w:val="24"/>
        </w:rPr>
        <w:t>budżetu państwa.</w:t>
      </w:r>
      <w:r w:rsidR="00B25B13" w:rsidRPr="00C4755C">
        <w:rPr>
          <w:rFonts w:cs="Times New Roman"/>
          <w:szCs w:val="24"/>
        </w:rPr>
        <w:t xml:space="preserve"> </w:t>
      </w:r>
    </w:p>
    <w:p w14:paraId="4F2D8005" w14:textId="68E1F8B8" w:rsidR="00504F9D" w:rsidRPr="00C4755C" w:rsidRDefault="00123CF9" w:rsidP="00C4755C">
      <w:pPr>
        <w:spacing w:before="120"/>
        <w:jc w:val="both"/>
        <w:rPr>
          <w:rFonts w:cs="Times New Roman"/>
          <w:szCs w:val="24"/>
        </w:rPr>
      </w:pPr>
      <w:r w:rsidRPr="00C4755C">
        <w:rPr>
          <w:rFonts w:cs="Times New Roman"/>
          <w:szCs w:val="24"/>
        </w:rPr>
        <w:t>Zgodnie z projektem, jeżeli sąd uchyli albo stwierdzi nieważnoś</w:t>
      </w:r>
      <w:r w:rsidR="00153B49" w:rsidRPr="00C4755C">
        <w:rPr>
          <w:rFonts w:cs="Times New Roman"/>
          <w:szCs w:val="24"/>
        </w:rPr>
        <w:t>ć</w:t>
      </w:r>
      <w:r w:rsidRPr="00C4755C">
        <w:rPr>
          <w:rFonts w:cs="Times New Roman"/>
          <w:szCs w:val="24"/>
        </w:rPr>
        <w:t xml:space="preserve"> decyzji o nałożeniu administracyjnej kary pieniężnej</w:t>
      </w:r>
      <w:r w:rsidR="00FA5480" w:rsidRPr="00C4755C">
        <w:rPr>
          <w:rFonts w:cs="Times New Roman"/>
          <w:szCs w:val="24"/>
        </w:rPr>
        <w:t>,</w:t>
      </w:r>
      <w:r w:rsidRPr="00C4755C">
        <w:rPr>
          <w:rFonts w:cs="Times New Roman"/>
          <w:szCs w:val="24"/>
        </w:rPr>
        <w:t xml:space="preserve"> lub organ, który wydał decyzję, uwzględni</w:t>
      </w:r>
      <w:r w:rsidR="000D3B55">
        <w:rPr>
          <w:rFonts w:cs="Times New Roman"/>
          <w:szCs w:val="24"/>
        </w:rPr>
        <w:t xml:space="preserve"> </w:t>
      </w:r>
      <w:r w:rsidRPr="00C4755C">
        <w:rPr>
          <w:rFonts w:cs="Times New Roman"/>
          <w:szCs w:val="24"/>
        </w:rPr>
        <w:t xml:space="preserve">skargę na decyzję o nałożeniu administracyjnej kary pieniężnej albo </w:t>
      </w:r>
      <w:r w:rsidR="00FA5480" w:rsidRPr="00C4755C">
        <w:rPr>
          <w:rFonts w:cs="Times New Roman"/>
          <w:szCs w:val="24"/>
        </w:rPr>
        <w:t xml:space="preserve">dokona </w:t>
      </w:r>
      <w:r w:rsidRPr="00C4755C">
        <w:rPr>
          <w:rFonts w:cs="Times New Roman"/>
          <w:szCs w:val="24"/>
        </w:rPr>
        <w:t xml:space="preserve">zmiany tej decyzji </w:t>
      </w:r>
      <w:r w:rsidRPr="00C4755C">
        <w:rPr>
          <w:rFonts w:cs="Times New Roman"/>
          <w:szCs w:val="24"/>
        </w:rPr>
        <w:lastRenderedPageBreak/>
        <w:t>polegającej na obniżeniu jej wysokości, uiszczona kara pieniężna będzie</w:t>
      </w:r>
      <w:r w:rsidR="00CA6E79" w:rsidRPr="00C4755C">
        <w:rPr>
          <w:rFonts w:cs="Times New Roman"/>
          <w:szCs w:val="24"/>
        </w:rPr>
        <w:t xml:space="preserve"> podlega zwrotowi w terminie 30</w:t>
      </w:r>
      <w:r w:rsidR="00C4755C">
        <w:rPr>
          <w:rFonts w:cs="Times New Roman"/>
          <w:szCs w:val="24"/>
        </w:rPr>
        <w:t xml:space="preserve"> </w:t>
      </w:r>
      <w:r w:rsidRPr="00C4755C">
        <w:rPr>
          <w:rFonts w:cs="Times New Roman"/>
          <w:szCs w:val="24"/>
        </w:rPr>
        <w:t xml:space="preserve">dni od dnia </w:t>
      </w:r>
      <w:r w:rsidR="00FA5480" w:rsidRPr="00C4755C">
        <w:rPr>
          <w:rFonts w:cs="Times New Roman"/>
          <w:szCs w:val="24"/>
        </w:rPr>
        <w:t>doręczenia wezwania do jej zwrotu</w:t>
      </w:r>
      <w:r w:rsidRPr="00C4755C">
        <w:rPr>
          <w:rFonts w:cs="Times New Roman"/>
          <w:szCs w:val="24"/>
        </w:rPr>
        <w:t>.</w:t>
      </w:r>
      <w:r w:rsidR="00153B49" w:rsidRPr="00C4755C">
        <w:rPr>
          <w:rFonts w:cs="Times New Roman"/>
          <w:szCs w:val="24"/>
        </w:rPr>
        <w:t xml:space="preserve"> </w:t>
      </w:r>
      <w:r w:rsidR="00A06CCB" w:rsidRPr="00C4755C">
        <w:rPr>
          <w:rFonts w:cs="Times New Roman"/>
          <w:szCs w:val="24"/>
        </w:rPr>
        <w:t>Projektowane</w:t>
      </w:r>
      <w:r w:rsidR="00504F9D" w:rsidRPr="00C4755C">
        <w:rPr>
          <w:rFonts w:cs="Times New Roman"/>
          <w:szCs w:val="24"/>
        </w:rPr>
        <w:t xml:space="preserve"> przepisy</w:t>
      </w:r>
      <w:r w:rsidR="00A06CCB" w:rsidRPr="00C4755C">
        <w:rPr>
          <w:rFonts w:cs="Times New Roman"/>
          <w:szCs w:val="24"/>
        </w:rPr>
        <w:t xml:space="preserve"> przewidują, że postępowania </w:t>
      </w:r>
      <w:r w:rsidR="00504F9D" w:rsidRPr="00C4755C">
        <w:rPr>
          <w:rFonts w:cs="Times New Roman"/>
          <w:szCs w:val="24"/>
        </w:rPr>
        <w:t>w sprawie nadmiernych opóźnień</w:t>
      </w:r>
      <w:r w:rsidR="0073739D" w:rsidRPr="00C4755C">
        <w:rPr>
          <w:rFonts w:cs="Times New Roman"/>
          <w:szCs w:val="24"/>
        </w:rPr>
        <w:t xml:space="preserve"> </w:t>
      </w:r>
      <w:r w:rsidR="007B482D" w:rsidRPr="00C4755C">
        <w:rPr>
          <w:rFonts w:cs="Times New Roman"/>
          <w:szCs w:val="24"/>
        </w:rPr>
        <w:t xml:space="preserve">ze </w:t>
      </w:r>
      <w:r w:rsidR="00504F9D" w:rsidRPr="00C4755C">
        <w:rPr>
          <w:rFonts w:cs="Times New Roman"/>
          <w:szCs w:val="24"/>
        </w:rPr>
        <w:t>spełniani</w:t>
      </w:r>
      <w:r w:rsidR="001571F2" w:rsidRPr="00C4755C">
        <w:rPr>
          <w:rFonts w:cs="Times New Roman"/>
          <w:szCs w:val="24"/>
        </w:rPr>
        <w:t>em</w:t>
      </w:r>
      <w:r w:rsidR="00504F9D" w:rsidRPr="00C4755C">
        <w:rPr>
          <w:rFonts w:cs="Times New Roman"/>
          <w:szCs w:val="24"/>
        </w:rPr>
        <w:t xml:space="preserve"> świadczeń pieniężnych </w:t>
      </w:r>
      <w:r w:rsidR="00A06CCB" w:rsidRPr="00C4755C">
        <w:rPr>
          <w:rFonts w:cs="Times New Roman"/>
          <w:szCs w:val="24"/>
        </w:rPr>
        <w:t>będą wszczynane z urzędu. Przesłanką do ich wszczęcia będ</w:t>
      </w:r>
      <w:r w:rsidR="00504F9D" w:rsidRPr="00C4755C">
        <w:rPr>
          <w:rFonts w:cs="Times New Roman"/>
          <w:szCs w:val="24"/>
        </w:rPr>
        <w:t>zie przeprowadzona przez</w:t>
      </w:r>
      <w:r w:rsidR="0073739D" w:rsidRPr="00C4755C">
        <w:rPr>
          <w:rFonts w:cs="Times New Roman"/>
          <w:szCs w:val="24"/>
        </w:rPr>
        <w:t xml:space="preserve"> </w:t>
      </w:r>
      <w:r w:rsidR="00A57183" w:rsidRPr="00C4755C">
        <w:rPr>
          <w:rFonts w:cs="Times New Roman"/>
          <w:szCs w:val="24"/>
        </w:rPr>
        <w:t>Prezesa UOKiK</w:t>
      </w:r>
      <w:r w:rsidR="00E460CE" w:rsidRPr="00C4755C">
        <w:rPr>
          <w:rFonts w:cs="Times New Roman"/>
          <w:szCs w:val="24"/>
        </w:rPr>
        <w:t xml:space="preserve"> </w:t>
      </w:r>
      <w:r w:rsidR="00504F9D" w:rsidRPr="00C4755C">
        <w:rPr>
          <w:rFonts w:cs="Times New Roman"/>
          <w:szCs w:val="24"/>
        </w:rPr>
        <w:t xml:space="preserve">analiza prawdopodobieństwa </w:t>
      </w:r>
      <w:r w:rsidR="00A57183" w:rsidRPr="00C4755C">
        <w:rPr>
          <w:rFonts w:cs="Times New Roman"/>
          <w:szCs w:val="24"/>
        </w:rPr>
        <w:t>nadmiernego opóźniania się ze spełnianiem świadczeń pieniężnych</w:t>
      </w:r>
      <w:r w:rsidR="00504F9D" w:rsidRPr="00C4755C">
        <w:rPr>
          <w:rFonts w:cs="Times New Roman"/>
          <w:szCs w:val="24"/>
        </w:rPr>
        <w:t xml:space="preserve">, obejmująca identyfikację obszarów, w których ryzyko powstawania </w:t>
      </w:r>
      <w:r w:rsidR="00A57183" w:rsidRPr="00C4755C">
        <w:rPr>
          <w:rFonts w:cs="Times New Roman"/>
          <w:szCs w:val="24"/>
        </w:rPr>
        <w:t xml:space="preserve">takich </w:t>
      </w:r>
      <w:r w:rsidR="00504F9D" w:rsidRPr="00C4755C">
        <w:rPr>
          <w:rFonts w:cs="Times New Roman"/>
          <w:szCs w:val="24"/>
        </w:rPr>
        <w:t xml:space="preserve">opóźnień jest największe, </w:t>
      </w:r>
      <w:r w:rsidR="007E6FAA" w:rsidRPr="00C4755C">
        <w:rPr>
          <w:rFonts w:cs="Times New Roman"/>
          <w:szCs w:val="24"/>
        </w:rPr>
        <w:t>oraz</w:t>
      </w:r>
      <w:r w:rsidR="00504F9D" w:rsidRPr="00C4755C">
        <w:rPr>
          <w:rFonts w:cs="Times New Roman"/>
          <w:szCs w:val="24"/>
        </w:rPr>
        <w:t xml:space="preserve"> uwzględni</w:t>
      </w:r>
      <w:r w:rsidR="00FA5480" w:rsidRPr="00C4755C">
        <w:rPr>
          <w:rFonts w:cs="Times New Roman"/>
          <w:szCs w:val="24"/>
        </w:rPr>
        <w:t>ająca</w:t>
      </w:r>
      <w:r w:rsidR="00504F9D" w:rsidRPr="00C4755C">
        <w:rPr>
          <w:rFonts w:cs="Times New Roman"/>
          <w:szCs w:val="24"/>
        </w:rPr>
        <w:t xml:space="preserve"> szacowaną wartość świadczeń</w:t>
      </w:r>
      <w:r w:rsidR="00A57183" w:rsidRPr="00C4755C">
        <w:rPr>
          <w:rFonts w:cs="Times New Roman"/>
          <w:szCs w:val="24"/>
        </w:rPr>
        <w:t xml:space="preserve"> pieniężnych</w:t>
      </w:r>
      <w:r w:rsidR="00504F9D" w:rsidRPr="00C4755C">
        <w:rPr>
          <w:rFonts w:cs="Times New Roman"/>
          <w:szCs w:val="24"/>
        </w:rPr>
        <w:t xml:space="preserve"> </w:t>
      </w:r>
      <w:r w:rsidR="00A57183" w:rsidRPr="00C4755C">
        <w:rPr>
          <w:rFonts w:cs="Times New Roman"/>
          <w:szCs w:val="24"/>
        </w:rPr>
        <w:t xml:space="preserve">niespełnionych oraz spełnionych po terminie </w:t>
      </w:r>
      <w:r w:rsidR="00FA5480" w:rsidRPr="00C4755C">
        <w:rPr>
          <w:rFonts w:cs="Times New Roman"/>
          <w:szCs w:val="24"/>
        </w:rPr>
        <w:t xml:space="preserve">przez </w:t>
      </w:r>
      <w:r w:rsidR="00504F9D" w:rsidRPr="00C4755C">
        <w:rPr>
          <w:rFonts w:cs="Times New Roman"/>
          <w:szCs w:val="24"/>
        </w:rPr>
        <w:t>dan</w:t>
      </w:r>
      <w:r w:rsidR="00FA5480" w:rsidRPr="00C4755C">
        <w:rPr>
          <w:rFonts w:cs="Times New Roman"/>
          <w:szCs w:val="24"/>
        </w:rPr>
        <w:t>y</w:t>
      </w:r>
      <w:r w:rsidR="00504F9D" w:rsidRPr="00C4755C">
        <w:rPr>
          <w:rFonts w:cs="Times New Roman"/>
          <w:szCs w:val="24"/>
        </w:rPr>
        <w:t xml:space="preserve"> </w:t>
      </w:r>
      <w:r w:rsidR="00A57183" w:rsidRPr="00C4755C">
        <w:rPr>
          <w:rFonts w:cs="Times New Roman"/>
          <w:szCs w:val="24"/>
        </w:rPr>
        <w:t xml:space="preserve">podmiot </w:t>
      </w:r>
      <w:r w:rsidR="00504F9D" w:rsidRPr="00C4755C">
        <w:rPr>
          <w:rFonts w:cs="Times New Roman"/>
          <w:szCs w:val="24"/>
        </w:rPr>
        <w:t>i liczbę wierzycieli, któr</w:t>
      </w:r>
      <w:r w:rsidR="00A57183" w:rsidRPr="00C4755C">
        <w:rPr>
          <w:rFonts w:cs="Times New Roman"/>
          <w:szCs w:val="24"/>
        </w:rPr>
        <w:t>zy</w:t>
      </w:r>
      <w:r w:rsidR="00504F9D" w:rsidRPr="00C4755C">
        <w:rPr>
          <w:rFonts w:cs="Times New Roman"/>
          <w:szCs w:val="24"/>
        </w:rPr>
        <w:t xml:space="preserve"> </w:t>
      </w:r>
      <w:r w:rsidR="00A57183" w:rsidRPr="00C4755C">
        <w:rPr>
          <w:rFonts w:cs="Times New Roman"/>
          <w:szCs w:val="24"/>
        </w:rPr>
        <w:t>takich świadczeń od tego podmiotu nie otrzymali lub otrzymali je po terminie</w:t>
      </w:r>
      <w:r w:rsidR="00504F9D" w:rsidRPr="00C4755C">
        <w:rPr>
          <w:rFonts w:cs="Times New Roman"/>
          <w:szCs w:val="24"/>
        </w:rPr>
        <w:t>.</w:t>
      </w:r>
    </w:p>
    <w:p w14:paraId="55C16F6B" w14:textId="025FDA2B" w:rsidR="00C82284" w:rsidRPr="00C4755C" w:rsidRDefault="000247E6" w:rsidP="00C4755C">
      <w:pPr>
        <w:spacing w:before="120"/>
        <w:jc w:val="both"/>
        <w:rPr>
          <w:rFonts w:cs="Times New Roman"/>
          <w:szCs w:val="24"/>
        </w:rPr>
      </w:pPr>
      <w:r w:rsidRPr="00C4755C">
        <w:rPr>
          <w:rFonts w:cs="Times New Roman"/>
          <w:szCs w:val="24"/>
        </w:rPr>
        <w:t xml:space="preserve">Postępowanie w sprawie nałożenia kary pieniężnej powinno zostać zakończone nie później niż w terminie 5 miesięcy od dnia jego wszczęcia. </w:t>
      </w:r>
      <w:r w:rsidR="00C82284" w:rsidRPr="00C4755C">
        <w:rPr>
          <w:rFonts w:cs="Times New Roman"/>
          <w:szCs w:val="24"/>
        </w:rPr>
        <w:t>Prezes Urzędu umorzy postępowanie postanowieniem, w przypadku gdy nie stwierdzi nadmiernego opóźniania się ze spełnianiem świadczeń pieniężnych przez stronę postępowania.</w:t>
      </w:r>
    </w:p>
    <w:p w14:paraId="067F2533" w14:textId="400FAA39" w:rsidR="00A06CCB" w:rsidRPr="00C4755C" w:rsidRDefault="00A06CCB" w:rsidP="00C4755C">
      <w:pPr>
        <w:spacing w:before="120"/>
        <w:jc w:val="both"/>
        <w:rPr>
          <w:rFonts w:cs="Times New Roman"/>
          <w:szCs w:val="24"/>
        </w:rPr>
      </w:pPr>
      <w:r w:rsidRPr="00C4755C">
        <w:rPr>
          <w:rFonts w:cs="Times New Roman"/>
          <w:szCs w:val="24"/>
        </w:rPr>
        <w:t xml:space="preserve">Projektowane przepisy przewidują też, że każdy będzie mógł zgłosić Prezesowi UOKiK zawiadomienie dotyczące podejrzenia wystąpienia </w:t>
      </w:r>
      <w:r w:rsidR="00C91704" w:rsidRPr="00C4755C">
        <w:rPr>
          <w:rFonts w:cs="Times New Roman"/>
          <w:szCs w:val="24"/>
        </w:rPr>
        <w:t xml:space="preserve">nadmiernego opóźniania się ze spełnianiem </w:t>
      </w:r>
      <w:r w:rsidRPr="00C4755C">
        <w:rPr>
          <w:rFonts w:cs="Times New Roman"/>
          <w:szCs w:val="24"/>
        </w:rPr>
        <w:t xml:space="preserve">świadczeń pieniężnych. Takie zawiadomienie powinno wskazywać </w:t>
      </w:r>
      <w:r w:rsidR="00C91704" w:rsidRPr="00C4755C">
        <w:rPr>
          <w:rFonts w:cs="Times New Roman"/>
          <w:szCs w:val="24"/>
        </w:rPr>
        <w:t>podmiot</w:t>
      </w:r>
      <w:r w:rsidRPr="00C4755C">
        <w:rPr>
          <w:rFonts w:cs="Times New Roman"/>
          <w:szCs w:val="24"/>
        </w:rPr>
        <w:t xml:space="preserve">, </w:t>
      </w:r>
      <w:r w:rsidR="00C91704" w:rsidRPr="00C4755C">
        <w:rPr>
          <w:rFonts w:cs="Times New Roman"/>
          <w:szCs w:val="24"/>
        </w:rPr>
        <w:t>wobec którego powzięto podejrzenie wystąpienia</w:t>
      </w:r>
      <w:r w:rsidR="00C91704" w:rsidRPr="00C4755C" w:rsidDel="00C91704">
        <w:rPr>
          <w:rFonts w:cs="Times New Roman"/>
          <w:szCs w:val="24"/>
        </w:rPr>
        <w:t xml:space="preserve"> </w:t>
      </w:r>
      <w:r w:rsidR="00C91704" w:rsidRPr="00C4755C">
        <w:rPr>
          <w:rFonts w:cs="Times New Roman"/>
          <w:szCs w:val="24"/>
        </w:rPr>
        <w:t xml:space="preserve">nadmiernego </w:t>
      </w:r>
      <w:r w:rsidRPr="00C4755C">
        <w:rPr>
          <w:rFonts w:cs="Times New Roman"/>
          <w:szCs w:val="24"/>
        </w:rPr>
        <w:t>opóźni</w:t>
      </w:r>
      <w:r w:rsidR="00C91704" w:rsidRPr="00C4755C">
        <w:rPr>
          <w:rFonts w:cs="Times New Roman"/>
          <w:szCs w:val="24"/>
        </w:rPr>
        <w:t>enia</w:t>
      </w:r>
      <w:r w:rsidRPr="00C4755C">
        <w:rPr>
          <w:rFonts w:cs="Times New Roman"/>
          <w:szCs w:val="24"/>
        </w:rPr>
        <w:t xml:space="preserve"> się ze spełnianiem świadczeń pieniężnych, zawierać opis stanu faktycznego będącego podstawą zawiadomienia i</w:t>
      </w:r>
      <w:r w:rsidR="00584C51" w:rsidRPr="00C4755C">
        <w:rPr>
          <w:rFonts w:cs="Times New Roman"/>
          <w:szCs w:val="24"/>
        </w:rPr>
        <w:t xml:space="preserve"> </w:t>
      </w:r>
      <w:r w:rsidRPr="00C4755C">
        <w:rPr>
          <w:rFonts w:cs="Times New Roman"/>
          <w:szCs w:val="24"/>
        </w:rPr>
        <w:t xml:space="preserve">uprawdopodobnienie </w:t>
      </w:r>
      <w:r w:rsidR="00FA5480" w:rsidRPr="00C4755C">
        <w:rPr>
          <w:rFonts w:cs="Times New Roman"/>
          <w:szCs w:val="24"/>
        </w:rPr>
        <w:t>wystąpienia takiego nadmiernego opóźniania się</w:t>
      </w:r>
      <w:r w:rsidRPr="00C4755C">
        <w:rPr>
          <w:rFonts w:cs="Times New Roman"/>
          <w:szCs w:val="24"/>
        </w:rPr>
        <w:t xml:space="preserve">. Do zawiadomienia dołącza się wszelkie dokumenty, które mogą stanowić dowód </w:t>
      </w:r>
      <w:r w:rsidR="00FA5480" w:rsidRPr="00C4755C">
        <w:rPr>
          <w:rFonts w:cs="Times New Roman"/>
          <w:szCs w:val="24"/>
        </w:rPr>
        <w:t>nadmiernego opóźniania się ze spełnianiem świadczeń pieniężnych</w:t>
      </w:r>
      <w:r w:rsidRPr="00C4755C">
        <w:rPr>
          <w:rFonts w:cs="Times New Roman"/>
          <w:szCs w:val="24"/>
        </w:rPr>
        <w:t>. Projekt zakłada, że zawiadomienie powinno zawierać dane identyfikujące zawiadamiającego, ale dane te nie podlegają ujawnieniu na żadnym etapie postępowania ani po jego zakończeniu.</w:t>
      </w:r>
    </w:p>
    <w:p w14:paraId="56C2D2D1" w14:textId="34021E74" w:rsidR="00A06CCB" w:rsidRPr="00C4755C" w:rsidRDefault="00A06CCB" w:rsidP="00C4755C">
      <w:pPr>
        <w:spacing w:before="120"/>
        <w:jc w:val="both"/>
        <w:rPr>
          <w:rFonts w:cs="Times New Roman"/>
          <w:szCs w:val="24"/>
        </w:rPr>
      </w:pPr>
      <w:r w:rsidRPr="00C4755C">
        <w:rPr>
          <w:rFonts w:cs="Times New Roman"/>
          <w:szCs w:val="24"/>
        </w:rPr>
        <w:t>W celu ustalenia przesłanek niezbędnych do wymierzenia kary Prezes UOKiK otrzyma prawo żądania przekazania informacji i dokumentów</w:t>
      </w:r>
      <w:r w:rsidR="00B37538" w:rsidRPr="00C4755C">
        <w:rPr>
          <w:rFonts w:cs="Times New Roman"/>
          <w:szCs w:val="24"/>
        </w:rPr>
        <w:t>, również od tych podmiotów, które nie są stronami transakcji handlowej (np. od drugiej, pokrzywdzonej, strony transakcji handlowej, która nie będzie stroną postępowania)</w:t>
      </w:r>
      <w:r w:rsidR="00747744" w:rsidRPr="00C4755C">
        <w:rPr>
          <w:rFonts w:cs="Times New Roman"/>
          <w:szCs w:val="24"/>
        </w:rPr>
        <w:t>.</w:t>
      </w:r>
    </w:p>
    <w:p w14:paraId="0B1E8C19" w14:textId="4F239620" w:rsidR="00A06CCB" w:rsidRPr="00C4755C" w:rsidRDefault="00A06CCB" w:rsidP="00C4755C">
      <w:pPr>
        <w:spacing w:before="120"/>
        <w:jc w:val="both"/>
        <w:rPr>
          <w:rFonts w:cs="Times New Roman"/>
          <w:szCs w:val="24"/>
        </w:rPr>
      </w:pPr>
      <w:r w:rsidRPr="00C4755C">
        <w:rPr>
          <w:rFonts w:cs="Times New Roman"/>
          <w:szCs w:val="24"/>
        </w:rPr>
        <w:t>W toku postępowania w sprawie nałożenia kary pieniężnej lub postępowania wyjaśniającego, u przedsiębiorcy może być przeprowadzona kontrola przez upoważnionego pracownika</w:t>
      </w:r>
      <w:r w:rsidR="00E460CE" w:rsidRPr="00C4755C">
        <w:rPr>
          <w:rFonts w:cs="Times New Roman"/>
          <w:szCs w:val="24"/>
        </w:rPr>
        <w:t xml:space="preserve"> </w:t>
      </w:r>
      <w:r w:rsidRPr="00C4755C">
        <w:rPr>
          <w:rFonts w:cs="Times New Roman"/>
          <w:szCs w:val="24"/>
        </w:rPr>
        <w:t>Urzędu Ochrony Konkurencji i</w:t>
      </w:r>
      <w:r w:rsidR="00584C51" w:rsidRPr="00C4755C">
        <w:rPr>
          <w:rFonts w:cs="Times New Roman"/>
          <w:szCs w:val="24"/>
        </w:rPr>
        <w:t xml:space="preserve"> </w:t>
      </w:r>
      <w:r w:rsidRPr="00C4755C">
        <w:rPr>
          <w:rFonts w:cs="Times New Roman"/>
          <w:szCs w:val="24"/>
        </w:rPr>
        <w:t xml:space="preserve">Konsumentów lub Inspekcji Handlowej. Projekt przewiduje, że do kontroli przeprowadzanej na potrzeby </w:t>
      </w:r>
      <w:r w:rsidRPr="00C4755C">
        <w:rPr>
          <w:rFonts w:cs="Times New Roman"/>
          <w:szCs w:val="24"/>
        </w:rPr>
        <w:lastRenderedPageBreak/>
        <w:t>postępowania w</w:t>
      </w:r>
      <w:r w:rsidR="00584C51" w:rsidRPr="00C4755C">
        <w:rPr>
          <w:rFonts w:cs="Times New Roman"/>
          <w:szCs w:val="24"/>
        </w:rPr>
        <w:t xml:space="preserve"> </w:t>
      </w:r>
      <w:r w:rsidRPr="00C4755C">
        <w:rPr>
          <w:rFonts w:cs="Times New Roman"/>
          <w:szCs w:val="24"/>
        </w:rPr>
        <w:t xml:space="preserve">sprawie nałożenia kary stosuje się odpowiednio przepisy </w:t>
      </w:r>
      <w:r w:rsidR="00CB4DDE">
        <w:rPr>
          <w:rFonts w:cs="Times New Roman"/>
          <w:szCs w:val="24"/>
        </w:rPr>
        <w:t>art. 105a ust. </w:t>
      </w:r>
      <w:r w:rsidR="001320F6" w:rsidRPr="00C4755C">
        <w:rPr>
          <w:rFonts w:cs="Times New Roman"/>
          <w:szCs w:val="24"/>
        </w:rPr>
        <w:t xml:space="preserve">6 i 7, art. 105b ust. 4, </w:t>
      </w:r>
      <w:r w:rsidRPr="00C4755C">
        <w:rPr>
          <w:rFonts w:cs="Times New Roman"/>
          <w:szCs w:val="24"/>
        </w:rPr>
        <w:t>art. 105f</w:t>
      </w:r>
      <w:r w:rsidR="00C4755C">
        <w:rPr>
          <w:rFonts w:cs="Times New Roman"/>
          <w:szCs w:val="24"/>
        </w:rPr>
        <w:t>–</w:t>
      </w:r>
      <w:r w:rsidRPr="00C4755C">
        <w:rPr>
          <w:rFonts w:cs="Times New Roman"/>
          <w:szCs w:val="24"/>
        </w:rPr>
        <w:t>105h, art. 105j i art. 105k ustawy</w:t>
      </w:r>
      <w:r w:rsidR="00153B49" w:rsidRPr="00C4755C">
        <w:rPr>
          <w:rFonts w:cs="Times New Roman"/>
          <w:szCs w:val="24"/>
        </w:rPr>
        <w:t xml:space="preserve"> z dnia 16 lutego 2</w:t>
      </w:r>
      <w:r w:rsidR="00CB4DDE">
        <w:rPr>
          <w:rFonts w:cs="Times New Roman"/>
          <w:szCs w:val="24"/>
        </w:rPr>
        <w:t>007 </w:t>
      </w:r>
      <w:r w:rsidR="00F3246B" w:rsidRPr="00C4755C">
        <w:rPr>
          <w:rFonts w:cs="Times New Roman"/>
          <w:szCs w:val="24"/>
        </w:rPr>
        <w:t>r. o ochronie konkurencji i</w:t>
      </w:r>
      <w:r w:rsidR="00C4755C">
        <w:rPr>
          <w:rFonts w:cs="Times New Roman"/>
          <w:szCs w:val="24"/>
        </w:rPr>
        <w:t xml:space="preserve"> </w:t>
      </w:r>
      <w:r w:rsidR="00153B49" w:rsidRPr="00C4755C">
        <w:rPr>
          <w:rFonts w:cs="Times New Roman"/>
          <w:szCs w:val="24"/>
        </w:rPr>
        <w:t>konsumentów</w:t>
      </w:r>
      <w:r w:rsidRPr="00C4755C">
        <w:rPr>
          <w:rFonts w:cs="Times New Roman"/>
          <w:szCs w:val="24"/>
        </w:rPr>
        <w:t>. Do kontroli będzie się też stosować przepisy rozdziału 5 ustawy</w:t>
      </w:r>
      <w:r w:rsidR="0073739D" w:rsidRPr="00C4755C">
        <w:rPr>
          <w:rFonts w:cs="Times New Roman"/>
          <w:szCs w:val="24"/>
        </w:rPr>
        <w:t xml:space="preserve"> </w:t>
      </w:r>
      <w:r w:rsidRPr="00C4755C">
        <w:rPr>
          <w:rFonts w:cs="Times New Roman"/>
          <w:szCs w:val="24"/>
        </w:rPr>
        <w:t xml:space="preserve">– Prawo przedsiębiorców, z </w:t>
      </w:r>
      <w:r w:rsidR="00CB4DDE">
        <w:rPr>
          <w:rFonts w:cs="Times New Roman"/>
          <w:szCs w:val="24"/>
        </w:rPr>
        <w:t>wyłączeniem art. 54 i art. </w:t>
      </w:r>
      <w:r w:rsidRPr="00C4755C">
        <w:rPr>
          <w:rFonts w:cs="Times New Roman"/>
          <w:szCs w:val="24"/>
        </w:rPr>
        <w:t>55 tej ustawy.</w:t>
      </w:r>
    </w:p>
    <w:p w14:paraId="432B1B15" w14:textId="73A85A37" w:rsidR="00AA0C4F" w:rsidRPr="00C4755C" w:rsidRDefault="0023367C" w:rsidP="00C4755C">
      <w:pPr>
        <w:spacing w:before="120"/>
        <w:jc w:val="both"/>
        <w:rPr>
          <w:rFonts w:cs="Times New Roman"/>
          <w:szCs w:val="24"/>
        </w:rPr>
      </w:pPr>
      <w:r w:rsidRPr="00C4755C">
        <w:rPr>
          <w:rFonts w:cs="Times New Roman"/>
          <w:szCs w:val="24"/>
        </w:rPr>
        <w:t>Zgodnie z art. 55 Prawa przedsiębiorców, czas trwania wszystkich kontroli organu kontroli u przedsiębiorcy w jednym roku kalendarzowym nie może przekraczać</w:t>
      </w:r>
      <w:r w:rsidR="006726F3" w:rsidRPr="00C4755C">
        <w:rPr>
          <w:rFonts w:cs="Times New Roman"/>
          <w:szCs w:val="24"/>
        </w:rPr>
        <w:t>, w zależności od wielkości przedsiębiorcy,</w:t>
      </w:r>
      <w:r w:rsidRPr="00C4755C">
        <w:rPr>
          <w:rFonts w:cs="Times New Roman"/>
          <w:szCs w:val="24"/>
        </w:rPr>
        <w:t xml:space="preserve"> </w:t>
      </w:r>
      <w:r w:rsidR="006726F3" w:rsidRPr="00C4755C">
        <w:rPr>
          <w:rFonts w:cs="Times New Roman"/>
          <w:szCs w:val="24"/>
        </w:rPr>
        <w:t xml:space="preserve">od 12 (mikroprzedsiębiorcy) do 48 dni roboczych (dla dużych przedsiębiorców). </w:t>
      </w:r>
      <w:r w:rsidRPr="00C4755C">
        <w:rPr>
          <w:rFonts w:cs="Times New Roman"/>
          <w:szCs w:val="24"/>
        </w:rPr>
        <w:t>Projekt</w:t>
      </w:r>
      <w:r w:rsidR="00CA2176" w:rsidRPr="00C4755C">
        <w:rPr>
          <w:rFonts w:cs="Times New Roman"/>
          <w:szCs w:val="24"/>
        </w:rPr>
        <w:t>owane przepisy</w:t>
      </w:r>
      <w:r w:rsidRPr="00C4755C">
        <w:rPr>
          <w:rFonts w:cs="Times New Roman"/>
          <w:szCs w:val="24"/>
        </w:rPr>
        <w:t xml:space="preserve"> </w:t>
      </w:r>
      <w:r w:rsidR="00CA2176" w:rsidRPr="00C4755C">
        <w:rPr>
          <w:rFonts w:cs="Times New Roman"/>
          <w:szCs w:val="24"/>
        </w:rPr>
        <w:t>w zakresie</w:t>
      </w:r>
      <w:r w:rsidR="006726F3" w:rsidRPr="00C4755C">
        <w:rPr>
          <w:rFonts w:cs="Times New Roman"/>
          <w:szCs w:val="24"/>
        </w:rPr>
        <w:t xml:space="preserve"> postępowania w sprawie nadmiernego opóźniania się ze spełnianiem świadczeń pieniężnych stanowi</w:t>
      </w:r>
      <w:r w:rsidR="00CA2176" w:rsidRPr="00C4755C">
        <w:rPr>
          <w:rFonts w:cs="Times New Roman"/>
          <w:szCs w:val="24"/>
        </w:rPr>
        <w:t>ą natomiast</w:t>
      </w:r>
      <w:r w:rsidR="006726F3" w:rsidRPr="00C4755C">
        <w:rPr>
          <w:rFonts w:cs="Times New Roman"/>
          <w:szCs w:val="24"/>
        </w:rPr>
        <w:t xml:space="preserve">, że czas trwania kontroli w ramach jednego postępowania </w:t>
      </w:r>
      <w:r w:rsidR="006028A7" w:rsidRPr="00C4755C">
        <w:rPr>
          <w:rFonts w:cs="Times New Roman"/>
          <w:szCs w:val="24"/>
        </w:rPr>
        <w:t xml:space="preserve">wobec każdego przedsiębiorcy </w:t>
      </w:r>
      <w:r w:rsidR="006726F3" w:rsidRPr="00C4755C">
        <w:rPr>
          <w:rFonts w:cs="Times New Roman"/>
          <w:szCs w:val="24"/>
        </w:rPr>
        <w:t xml:space="preserve">nie będzie mógł przekroczyć </w:t>
      </w:r>
      <w:r w:rsidRPr="00C4755C">
        <w:rPr>
          <w:rFonts w:cs="Times New Roman"/>
          <w:szCs w:val="24"/>
        </w:rPr>
        <w:t xml:space="preserve">20 dni roboczych. </w:t>
      </w:r>
      <w:r w:rsidR="00E803BA" w:rsidRPr="00C4755C">
        <w:rPr>
          <w:rFonts w:cs="Times New Roman"/>
          <w:szCs w:val="24"/>
        </w:rPr>
        <w:t xml:space="preserve">Wyłączenie obowiązywania art. 55 </w:t>
      </w:r>
      <w:r w:rsidR="003E6DCD" w:rsidRPr="00C4755C">
        <w:rPr>
          <w:rFonts w:cs="Times New Roman"/>
          <w:szCs w:val="24"/>
        </w:rPr>
        <w:t xml:space="preserve">Prawa przedsiębiorców </w:t>
      </w:r>
      <w:r w:rsidR="00E803BA" w:rsidRPr="00C4755C">
        <w:rPr>
          <w:rFonts w:cs="Times New Roman"/>
          <w:szCs w:val="24"/>
        </w:rPr>
        <w:t>ma umożliwić organowi prowadzenie w danym roku większej liczby postępowań – co w praktyce przypuszczalnie będzie bardzo rzadkie, a może być konieczne w przypadku wykrycia ciągłych naruszeń ustawy w dużej skali, które mają wpływ na całe sek</w:t>
      </w:r>
      <w:r w:rsidR="009341D1" w:rsidRPr="00C4755C">
        <w:rPr>
          <w:rFonts w:cs="Times New Roman"/>
          <w:szCs w:val="24"/>
        </w:rPr>
        <w:t>tory gospodarki. Jednocześnie w</w:t>
      </w:r>
      <w:r w:rsidR="00C4755C">
        <w:rPr>
          <w:rFonts w:cs="Times New Roman"/>
          <w:szCs w:val="24"/>
        </w:rPr>
        <w:t xml:space="preserve"> </w:t>
      </w:r>
      <w:r w:rsidR="00E803BA" w:rsidRPr="00C4755C">
        <w:rPr>
          <w:rFonts w:cs="Times New Roman"/>
          <w:szCs w:val="24"/>
        </w:rPr>
        <w:t>pojedynczym postępowaniu liczba dni kontrolnych wyniesie 20 dni co oznacza, że przeciętnie strona postępowania będzie mogła być kontrolowana krócej niż by to wynikało z Prawa przedsiębiorców (przyjmując, że zwykle w sprawie konkretnego przedsiębiorstwa będzie prowadzone jedno postępowanie w roku).</w:t>
      </w:r>
    </w:p>
    <w:p w14:paraId="6C2C6D54" w14:textId="5AFD5A4E" w:rsidR="0023367C" w:rsidRPr="00C4755C" w:rsidRDefault="00CC44D7" w:rsidP="00C4755C">
      <w:pPr>
        <w:spacing w:before="120"/>
        <w:jc w:val="both"/>
        <w:rPr>
          <w:rFonts w:cs="Times New Roman"/>
          <w:szCs w:val="24"/>
        </w:rPr>
      </w:pPr>
      <w:r w:rsidRPr="00C4755C">
        <w:rPr>
          <w:rFonts w:cs="Times New Roman"/>
          <w:szCs w:val="24"/>
        </w:rPr>
        <w:t>Tak</w:t>
      </w:r>
      <w:r w:rsidR="00CA2176" w:rsidRPr="00C4755C">
        <w:rPr>
          <w:rFonts w:cs="Times New Roman"/>
          <w:szCs w:val="24"/>
        </w:rPr>
        <w:t xml:space="preserve"> określony</w:t>
      </w:r>
      <w:r w:rsidR="003139B3" w:rsidRPr="00C4755C">
        <w:rPr>
          <w:rFonts w:cs="Times New Roman"/>
          <w:szCs w:val="24"/>
        </w:rPr>
        <w:t xml:space="preserve"> czas </w:t>
      </w:r>
      <w:r w:rsidR="00CA2176" w:rsidRPr="00C4755C">
        <w:rPr>
          <w:rFonts w:cs="Times New Roman"/>
          <w:szCs w:val="24"/>
        </w:rPr>
        <w:t xml:space="preserve">ma </w:t>
      </w:r>
      <w:r w:rsidR="003139B3" w:rsidRPr="00C4755C">
        <w:rPr>
          <w:rFonts w:cs="Times New Roman"/>
          <w:szCs w:val="24"/>
        </w:rPr>
        <w:t>umożliwi</w:t>
      </w:r>
      <w:r w:rsidR="00CA2176" w:rsidRPr="00C4755C">
        <w:rPr>
          <w:rFonts w:cs="Times New Roman"/>
          <w:szCs w:val="24"/>
        </w:rPr>
        <w:t>ć</w:t>
      </w:r>
      <w:r w:rsidR="003139B3" w:rsidRPr="00C4755C">
        <w:rPr>
          <w:rFonts w:cs="Times New Roman"/>
          <w:szCs w:val="24"/>
        </w:rPr>
        <w:t xml:space="preserve"> kontrolerom</w:t>
      </w:r>
      <w:r w:rsidRPr="00C4755C">
        <w:rPr>
          <w:rFonts w:cs="Times New Roman"/>
          <w:szCs w:val="24"/>
        </w:rPr>
        <w:t xml:space="preserve"> </w:t>
      </w:r>
      <w:r w:rsidR="00E61681" w:rsidRPr="00C4755C">
        <w:rPr>
          <w:rFonts w:cs="Times New Roman"/>
          <w:szCs w:val="24"/>
        </w:rPr>
        <w:t>skuteczne uzyskanie informacji</w:t>
      </w:r>
      <w:r w:rsidR="003139B3" w:rsidRPr="00C4755C">
        <w:rPr>
          <w:rFonts w:cs="Times New Roman"/>
          <w:szCs w:val="24"/>
        </w:rPr>
        <w:t xml:space="preserve"> istotn</w:t>
      </w:r>
      <w:r w:rsidR="00E61681" w:rsidRPr="00C4755C">
        <w:rPr>
          <w:rFonts w:cs="Times New Roman"/>
          <w:szCs w:val="24"/>
        </w:rPr>
        <w:t>ych</w:t>
      </w:r>
      <w:r w:rsidR="003139B3" w:rsidRPr="00C4755C">
        <w:rPr>
          <w:rFonts w:cs="Times New Roman"/>
          <w:szCs w:val="24"/>
        </w:rPr>
        <w:t xml:space="preserve"> dla celów prowadzo</w:t>
      </w:r>
      <w:r w:rsidR="00E61681" w:rsidRPr="00C4755C">
        <w:rPr>
          <w:rFonts w:cs="Times New Roman"/>
          <w:szCs w:val="24"/>
        </w:rPr>
        <w:t>nego postępowania i zabezpieczenie</w:t>
      </w:r>
      <w:r w:rsidR="003139B3" w:rsidRPr="00C4755C">
        <w:rPr>
          <w:rFonts w:cs="Times New Roman"/>
          <w:szCs w:val="24"/>
        </w:rPr>
        <w:t xml:space="preserve"> dowo</w:t>
      </w:r>
      <w:r w:rsidR="00E61681" w:rsidRPr="00C4755C">
        <w:rPr>
          <w:rFonts w:cs="Times New Roman"/>
          <w:szCs w:val="24"/>
        </w:rPr>
        <w:t>dów</w:t>
      </w:r>
      <w:r w:rsidR="003139B3" w:rsidRPr="00C4755C">
        <w:rPr>
          <w:rFonts w:cs="Times New Roman"/>
          <w:szCs w:val="24"/>
        </w:rPr>
        <w:t xml:space="preserve"> w sprawie. Okres objęty postępowaniem w sprawie nadmiernego opóźniania się ze spełnianiem świadczeń pieniężnych będzie obejmował 3 kolejne miesią</w:t>
      </w:r>
      <w:r w:rsidR="00F3246B" w:rsidRPr="00C4755C">
        <w:rPr>
          <w:rFonts w:cs="Times New Roman"/>
          <w:szCs w:val="24"/>
        </w:rPr>
        <w:t>ce. Należy mieć na uwadze, że w</w:t>
      </w:r>
      <w:r w:rsidR="00C4755C">
        <w:rPr>
          <w:rFonts w:cs="Times New Roman"/>
          <w:szCs w:val="24"/>
        </w:rPr>
        <w:t xml:space="preserve"> </w:t>
      </w:r>
      <w:r w:rsidR="003139B3" w:rsidRPr="00C4755C">
        <w:rPr>
          <w:rFonts w:cs="Times New Roman"/>
          <w:szCs w:val="24"/>
        </w:rPr>
        <w:t>przypadku części podmiotów kontrolowanych konieczne będzie zebranie obszernego materiału</w:t>
      </w:r>
      <w:r w:rsidR="00AA71BF" w:rsidRPr="00C4755C">
        <w:rPr>
          <w:rFonts w:cs="Times New Roman"/>
          <w:szCs w:val="24"/>
        </w:rPr>
        <w:t xml:space="preserve"> z takiego przedziału czasu</w:t>
      </w:r>
      <w:r w:rsidR="003139B3" w:rsidRPr="00C4755C">
        <w:rPr>
          <w:rFonts w:cs="Times New Roman"/>
          <w:szCs w:val="24"/>
        </w:rPr>
        <w:t xml:space="preserve"> i zabezpieczenie</w:t>
      </w:r>
      <w:r w:rsidR="00CA2176" w:rsidRPr="00C4755C">
        <w:rPr>
          <w:rFonts w:cs="Times New Roman"/>
          <w:szCs w:val="24"/>
        </w:rPr>
        <w:t xml:space="preserve"> przez kontrolerów</w:t>
      </w:r>
      <w:r w:rsidR="003139B3" w:rsidRPr="00C4755C">
        <w:rPr>
          <w:rFonts w:cs="Times New Roman"/>
          <w:szCs w:val="24"/>
        </w:rPr>
        <w:t xml:space="preserve"> znacznej ilości danych</w:t>
      </w:r>
      <w:r w:rsidR="00E61681" w:rsidRPr="00C4755C">
        <w:rPr>
          <w:rFonts w:cs="Times New Roman"/>
          <w:szCs w:val="24"/>
        </w:rPr>
        <w:t xml:space="preserve">. </w:t>
      </w:r>
      <w:r w:rsidR="00CA2176" w:rsidRPr="00C4755C">
        <w:rPr>
          <w:rFonts w:cs="Times New Roman"/>
          <w:szCs w:val="24"/>
        </w:rPr>
        <w:t>W</w:t>
      </w:r>
      <w:r w:rsidR="00E61681" w:rsidRPr="00C4755C">
        <w:rPr>
          <w:rFonts w:cs="Times New Roman"/>
          <w:szCs w:val="24"/>
        </w:rPr>
        <w:t>szczęcie postępowania i przeprowadzenie w jego toku kontroli będzie poprzedzone analizą ryzyka prawdopodobieństwa nadmiernego opóźniania się ze spełnianiem świadczeń pieniężnych</w:t>
      </w:r>
      <w:r w:rsidR="00CA2176" w:rsidRPr="00C4755C">
        <w:rPr>
          <w:rFonts w:cs="Times New Roman"/>
          <w:szCs w:val="24"/>
        </w:rPr>
        <w:t>. Organ prowadzący postępowanie w szczególności uwzględni szacowaną wartość świadczeń pieniężnych</w:t>
      </w:r>
      <w:r w:rsidR="00CA2176" w:rsidRPr="00C4755C" w:rsidDel="00CB4193">
        <w:rPr>
          <w:rFonts w:cs="Times New Roman"/>
          <w:szCs w:val="24"/>
        </w:rPr>
        <w:t xml:space="preserve"> </w:t>
      </w:r>
      <w:r w:rsidR="00CA2176" w:rsidRPr="00C4755C">
        <w:rPr>
          <w:rFonts w:cs="Times New Roman"/>
          <w:szCs w:val="24"/>
        </w:rPr>
        <w:t>niespełnionych oraz spełnionych po terminie przez dany podmiot</w:t>
      </w:r>
      <w:r w:rsidR="00170DEB" w:rsidRPr="00C4755C">
        <w:rPr>
          <w:rFonts w:cs="Times New Roman"/>
          <w:szCs w:val="24"/>
        </w:rPr>
        <w:t xml:space="preserve"> </w:t>
      </w:r>
      <w:r w:rsidR="00CA2176" w:rsidRPr="00C4755C">
        <w:rPr>
          <w:rFonts w:cs="Times New Roman"/>
          <w:szCs w:val="24"/>
        </w:rPr>
        <w:t>i liczbę wierzycieli, którzy nie otrzymali lub otrzymali swoje świadczenia po terminie. Dzięki temu należy założ</w:t>
      </w:r>
      <w:r w:rsidR="00F3246B" w:rsidRPr="00C4755C">
        <w:rPr>
          <w:rFonts w:cs="Times New Roman"/>
          <w:szCs w:val="24"/>
        </w:rPr>
        <w:t>yć, że wszczęcie postępowania i</w:t>
      </w:r>
      <w:r w:rsidR="00C4755C">
        <w:rPr>
          <w:rFonts w:cs="Times New Roman"/>
          <w:szCs w:val="24"/>
        </w:rPr>
        <w:t xml:space="preserve"> </w:t>
      </w:r>
      <w:r w:rsidR="00CA2176" w:rsidRPr="00C4755C">
        <w:rPr>
          <w:rFonts w:cs="Times New Roman"/>
          <w:szCs w:val="24"/>
        </w:rPr>
        <w:t>ewentualne prowadzenie w je</w:t>
      </w:r>
      <w:r w:rsidR="000D3B55">
        <w:rPr>
          <w:rFonts w:cs="Times New Roman"/>
          <w:szCs w:val="24"/>
        </w:rPr>
        <w:t>go</w:t>
      </w:r>
      <w:r w:rsidR="00CA2176" w:rsidRPr="00C4755C">
        <w:rPr>
          <w:rFonts w:cs="Times New Roman"/>
          <w:szCs w:val="24"/>
        </w:rPr>
        <w:t xml:space="preserve"> toku kontroli będzie skierowane wobec najbardziej rażących przypadków naruszania przepisów projektowanej ustawy, w przypadku </w:t>
      </w:r>
      <w:r w:rsidR="00CA2176" w:rsidRPr="00C4755C">
        <w:rPr>
          <w:rFonts w:cs="Times New Roman"/>
          <w:szCs w:val="24"/>
        </w:rPr>
        <w:lastRenderedPageBreak/>
        <w:t>z</w:t>
      </w:r>
      <w:r w:rsidR="00747744" w:rsidRPr="00C4755C">
        <w:rPr>
          <w:rFonts w:cs="Times New Roman"/>
          <w:szCs w:val="24"/>
        </w:rPr>
        <w:t>aległości o znacznej wysokości.</w:t>
      </w:r>
    </w:p>
    <w:p w14:paraId="3E85C54C" w14:textId="745B2AD3" w:rsidR="00CC60D9" w:rsidRPr="00C4755C" w:rsidRDefault="00CC60D9" w:rsidP="00C4755C">
      <w:pPr>
        <w:spacing w:before="120"/>
        <w:jc w:val="both"/>
        <w:rPr>
          <w:rFonts w:cs="Times New Roman"/>
          <w:szCs w:val="24"/>
        </w:rPr>
      </w:pPr>
      <w:r w:rsidRPr="00C4755C">
        <w:rPr>
          <w:rFonts w:cs="Times New Roman"/>
          <w:szCs w:val="24"/>
        </w:rPr>
        <w:t>Jednocześnie za zasadne</w:t>
      </w:r>
      <w:r w:rsidR="004069AE" w:rsidRPr="00C4755C">
        <w:rPr>
          <w:rFonts w:cs="Times New Roman"/>
          <w:szCs w:val="24"/>
        </w:rPr>
        <w:t xml:space="preserve"> z punktu widzenia jednolitości systemowej</w:t>
      </w:r>
      <w:r w:rsidRPr="00C4755C">
        <w:rPr>
          <w:rFonts w:cs="Times New Roman"/>
          <w:szCs w:val="24"/>
        </w:rPr>
        <w:t xml:space="preserve"> zostało uznane wyłączenie na gruncie projektowanego postępowania art. 54 Prawa przedsiębiorców, zgodnie z którym zasadą jest zakaz równoczesnego prowadzenia więcej niż jednej kontroli działalności przedsiębiorcy. </w:t>
      </w:r>
      <w:r w:rsidR="000C757B" w:rsidRPr="00C4755C">
        <w:rPr>
          <w:rFonts w:cs="Times New Roman"/>
          <w:szCs w:val="24"/>
        </w:rPr>
        <w:t xml:space="preserve">Przepis ten na gruncie obecnie obowiązujących regulacji nie ma zastosowania do kontroli prowadzonych w toku postępowania prowadzonego na podstawie przepisów ustawy o ochronie konkurencji i konsumentów oraz ustawy </w:t>
      </w:r>
      <w:r w:rsidR="00F3246B" w:rsidRPr="00C4755C">
        <w:rPr>
          <w:rFonts w:cs="Times New Roman"/>
          <w:szCs w:val="24"/>
        </w:rPr>
        <w:t>o</w:t>
      </w:r>
      <w:r w:rsidR="00C4755C">
        <w:rPr>
          <w:rFonts w:cs="Times New Roman"/>
          <w:szCs w:val="24"/>
        </w:rPr>
        <w:t xml:space="preserve"> </w:t>
      </w:r>
      <w:r w:rsidR="000C757B" w:rsidRPr="00C4755C">
        <w:rPr>
          <w:rFonts w:cs="Times New Roman"/>
          <w:szCs w:val="24"/>
        </w:rPr>
        <w:t>przeciwdziałaniu nieuczciwemu wykorzystywaniu przewagi kontraktowej w obrocie produktami rolnymi i spożywczymi</w:t>
      </w:r>
      <w:r w:rsidR="00747744" w:rsidRPr="00C4755C">
        <w:rPr>
          <w:rFonts w:cs="Times New Roman"/>
          <w:szCs w:val="24"/>
        </w:rPr>
        <w:t>.</w:t>
      </w:r>
    </w:p>
    <w:p w14:paraId="2DF14B56" w14:textId="447E5952" w:rsidR="00A06CCB" w:rsidRPr="00C4755C" w:rsidRDefault="00A06CCB" w:rsidP="00C4755C">
      <w:pPr>
        <w:spacing w:before="120"/>
        <w:jc w:val="both"/>
        <w:rPr>
          <w:rFonts w:cs="Times New Roman"/>
          <w:szCs w:val="24"/>
        </w:rPr>
      </w:pPr>
      <w:r w:rsidRPr="00C4755C">
        <w:rPr>
          <w:rFonts w:cs="Times New Roman"/>
          <w:szCs w:val="24"/>
        </w:rPr>
        <w:t xml:space="preserve">Prezes UOKiK będzie mógł zażądać od </w:t>
      </w:r>
      <w:r w:rsidR="00CD5F33" w:rsidRPr="00C4755C">
        <w:rPr>
          <w:rFonts w:cs="Times New Roman"/>
          <w:szCs w:val="24"/>
        </w:rPr>
        <w:t xml:space="preserve">przedsiębiorców </w:t>
      </w:r>
      <w:r w:rsidRPr="00C4755C">
        <w:rPr>
          <w:rFonts w:cs="Times New Roman"/>
          <w:szCs w:val="24"/>
        </w:rPr>
        <w:t>prowadząc</w:t>
      </w:r>
      <w:r w:rsidR="00CD5F33" w:rsidRPr="00C4755C">
        <w:rPr>
          <w:rFonts w:cs="Times New Roman"/>
          <w:szCs w:val="24"/>
        </w:rPr>
        <w:t>ych</w:t>
      </w:r>
      <w:r w:rsidRPr="00C4755C">
        <w:rPr>
          <w:rFonts w:cs="Times New Roman"/>
          <w:szCs w:val="24"/>
        </w:rPr>
        <w:t xml:space="preserve"> księgi podatkowe przy użyciu programów komputerowych przekazania całości lub części tych ksiąg oraz dowodów księgowych za pomocą środków komunikacji elektronicznej lub na informatycznych nośnikach danych, w postaci elektronicznej odpowiadającej strukturze logicznej, o której mowa w art. 193a § 2 ustawy z dnia 29 sierpnia 1997</w:t>
      </w:r>
      <w:r w:rsidR="00584C51" w:rsidRPr="00C4755C">
        <w:rPr>
          <w:rFonts w:cs="Times New Roman"/>
          <w:szCs w:val="24"/>
        </w:rPr>
        <w:t xml:space="preserve"> </w:t>
      </w:r>
      <w:r w:rsidRPr="00C4755C">
        <w:rPr>
          <w:rFonts w:cs="Times New Roman"/>
          <w:szCs w:val="24"/>
        </w:rPr>
        <w:t>r. – Ordynacja podatkowa, wskazując rodzaj ksiąg podatkowych oraz okres, którego dotyczą.</w:t>
      </w:r>
    </w:p>
    <w:p w14:paraId="6A0DA269" w14:textId="3E3589B6" w:rsidR="00CD5F33" w:rsidRPr="00C4755C" w:rsidRDefault="00CD5F33" w:rsidP="00C4755C">
      <w:pPr>
        <w:spacing w:before="120"/>
        <w:jc w:val="both"/>
        <w:rPr>
          <w:rFonts w:cs="Times New Roman"/>
          <w:szCs w:val="24"/>
        </w:rPr>
      </w:pPr>
      <w:r w:rsidRPr="00C4755C">
        <w:rPr>
          <w:rFonts w:cs="Times New Roman"/>
          <w:szCs w:val="24"/>
        </w:rPr>
        <w:t>Minister właściwy d</w:t>
      </w:r>
      <w:r w:rsidR="00E270DB">
        <w:rPr>
          <w:rFonts w:cs="Times New Roman"/>
          <w:szCs w:val="24"/>
        </w:rPr>
        <w:t xml:space="preserve">o </w:t>
      </w:r>
      <w:r w:rsidRPr="00C4755C">
        <w:rPr>
          <w:rFonts w:cs="Times New Roman"/>
          <w:szCs w:val="24"/>
        </w:rPr>
        <w:t>s</w:t>
      </w:r>
      <w:r w:rsidR="00E270DB">
        <w:rPr>
          <w:rFonts w:cs="Times New Roman"/>
          <w:szCs w:val="24"/>
        </w:rPr>
        <w:t>praw</w:t>
      </w:r>
      <w:r w:rsidRPr="00C4755C">
        <w:rPr>
          <w:rFonts w:cs="Times New Roman"/>
          <w:szCs w:val="24"/>
        </w:rPr>
        <w:t xml:space="preserve"> gospodarki wyda rozporządzenie, w którym określi sposób przesyłania </w:t>
      </w:r>
      <w:r w:rsidR="00BA3A46" w:rsidRPr="00C4755C">
        <w:rPr>
          <w:rFonts w:cs="Times New Roman"/>
          <w:szCs w:val="24"/>
        </w:rPr>
        <w:t xml:space="preserve">ich </w:t>
      </w:r>
      <w:r w:rsidRPr="00C4755C">
        <w:rPr>
          <w:rFonts w:cs="Times New Roman"/>
          <w:szCs w:val="24"/>
        </w:rPr>
        <w:t>za pomocą środków komunikacji elektronicznej oraz wymagania techniczne dla informatycznych nośników danych, na których mogą być zapisane i przekazywane, uwzględniając potrzebę zapewnienia bezpieczeństwa, wiarygodności i niezaprzeczalności danych zawartych w księgach oraz potrzebę ich ochrony przed nieuprawnionym dostępem.</w:t>
      </w:r>
    </w:p>
    <w:p w14:paraId="274F03AD" w14:textId="26F0ECAD" w:rsidR="00A06CCB" w:rsidRPr="00C4755C" w:rsidRDefault="00A06CCB" w:rsidP="00C4755C">
      <w:pPr>
        <w:spacing w:before="120"/>
        <w:jc w:val="both"/>
        <w:rPr>
          <w:rFonts w:cs="Times New Roman"/>
          <w:szCs w:val="24"/>
        </w:rPr>
      </w:pPr>
      <w:r w:rsidRPr="00C4755C">
        <w:rPr>
          <w:rFonts w:cs="Times New Roman"/>
          <w:szCs w:val="24"/>
        </w:rPr>
        <w:t>W przypadku, gdyby przedsiębiorca nie udzielił informacji żądanych przez Prezesa UOKiK bądź udzielił nieprawdziwych lub wprowadzających w błąd informacji albo gdyby uniemożliwiał lub utrudniał rozpoczęcie lub przeprowadzenie kontroli, Prezes UOKiK, zgodnie z projektowanymi przepisami, będzie mógł nałożyć</w:t>
      </w:r>
      <w:r w:rsidR="00153B49" w:rsidRPr="00C4755C">
        <w:rPr>
          <w:rFonts w:eastAsia="Calibri" w:cs="Times New Roman"/>
          <w:szCs w:val="24"/>
          <w:lang w:eastAsia="en-US"/>
        </w:rPr>
        <w:t xml:space="preserve"> </w:t>
      </w:r>
      <w:r w:rsidR="00153B49" w:rsidRPr="00C4755C">
        <w:rPr>
          <w:rFonts w:cs="Times New Roman"/>
          <w:szCs w:val="24"/>
        </w:rPr>
        <w:t>na podmioty wymienione</w:t>
      </w:r>
      <w:r w:rsidR="00F3246B" w:rsidRPr="00C4755C">
        <w:rPr>
          <w:rFonts w:cs="Times New Roman"/>
          <w:szCs w:val="24"/>
        </w:rPr>
        <w:t xml:space="preserve"> w</w:t>
      </w:r>
      <w:r w:rsidR="00C4755C">
        <w:rPr>
          <w:rFonts w:cs="Times New Roman"/>
          <w:szCs w:val="24"/>
        </w:rPr>
        <w:t xml:space="preserve"> </w:t>
      </w:r>
      <w:r w:rsidR="00153B49" w:rsidRPr="00C4755C">
        <w:rPr>
          <w:rFonts w:cs="Times New Roman"/>
          <w:szCs w:val="24"/>
        </w:rPr>
        <w:t>art. 2 ustawy z dnia 8 marca 2013 r. o terminach zapłaty w transakcjach handlowych</w:t>
      </w:r>
      <w:r w:rsidR="00DA26B7" w:rsidRPr="00C4755C">
        <w:rPr>
          <w:rFonts w:cs="Times New Roman"/>
          <w:szCs w:val="24"/>
        </w:rPr>
        <w:t xml:space="preserve"> (po zmianie tytułu – ustawy o przeciwdziałaniu nadmiernym opóźnieniom w transakcjach handlowych)</w:t>
      </w:r>
      <w:r w:rsidR="00153B49" w:rsidRPr="00C4755C">
        <w:rPr>
          <w:rFonts w:cs="Times New Roman"/>
          <w:szCs w:val="24"/>
        </w:rPr>
        <w:t xml:space="preserve">, także w przypadku gdy nie </w:t>
      </w:r>
      <w:r w:rsidR="00DA26B7" w:rsidRPr="00C4755C">
        <w:rPr>
          <w:rFonts w:cs="Times New Roman"/>
          <w:szCs w:val="24"/>
        </w:rPr>
        <w:t>są</w:t>
      </w:r>
      <w:r w:rsidR="00153B49" w:rsidRPr="00C4755C">
        <w:rPr>
          <w:rFonts w:cs="Times New Roman"/>
          <w:szCs w:val="24"/>
        </w:rPr>
        <w:t xml:space="preserve"> stron</w:t>
      </w:r>
      <w:r w:rsidR="00DA26B7" w:rsidRPr="00C4755C">
        <w:rPr>
          <w:rFonts w:cs="Times New Roman"/>
          <w:szCs w:val="24"/>
        </w:rPr>
        <w:t>ami</w:t>
      </w:r>
      <w:r w:rsidR="00153B49" w:rsidRPr="00C4755C">
        <w:rPr>
          <w:rFonts w:cs="Times New Roman"/>
          <w:szCs w:val="24"/>
        </w:rPr>
        <w:t xml:space="preserve"> transakcji handlowej</w:t>
      </w:r>
      <w:r w:rsidR="00DA26B7" w:rsidRPr="00C4755C">
        <w:rPr>
          <w:rFonts w:cs="Times New Roman"/>
          <w:szCs w:val="24"/>
        </w:rPr>
        <w:t xml:space="preserve"> </w:t>
      </w:r>
      <w:r w:rsidR="00067419" w:rsidRPr="00C4755C">
        <w:rPr>
          <w:rFonts w:cs="Times New Roman"/>
          <w:szCs w:val="24"/>
        </w:rPr>
        <w:t xml:space="preserve">administracyjną karę pieniężną w wysokości do 5% przychodu osiągniętego w poprzednim roku podatkowym, ale nie więcej niż </w:t>
      </w:r>
      <w:r w:rsidR="00747744" w:rsidRPr="00C4755C">
        <w:rPr>
          <w:rFonts w:cs="Times New Roman"/>
          <w:szCs w:val="24"/>
        </w:rPr>
        <w:t>równowartość 50</w:t>
      </w:r>
      <w:r w:rsidR="00CB4DDE">
        <w:rPr>
          <w:rFonts w:cs="Times New Roman"/>
          <w:szCs w:val="24"/>
        </w:rPr>
        <w:t> </w:t>
      </w:r>
      <w:r w:rsidR="00747744" w:rsidRPr="00C4755C">
        <w:rPr>
          <w:rFonts w:cs="Times New Roman"/>
          <w:szCs w:val="24"/>
        </w:rPr>
        <w:t>000</w:t>
      </w:r>
      <w:r w:rsidR="00CB4DDE">
        <w:rPr>
          <w:rFonts w:cs="Times New Roman"/>
          <w:szCs w:val="24"/>
        </w:rPr>
        <w:t> </w:t>
      </w:r>
      <w:r w:rsidR="00067419" w:rsidRPr="00C4755C">
        <w:rPr>
          <w:rFonts w:cs="Times New Roman"/>
          <w:szCs w:val="24"/>
        </w:rPr>
        <w:t xml:space="preserve">000 euro lub </w:t>
      </w:r>
      <w:r w:rsidR="00747744" w:rsidRPr="00C4755C">
        <w:rPr>
          <w:rFonts w:cs="Times New Roman"/>
          <w:szCs w:val="24"/>
        </w:rPr>
        <w:t>nie więcej niż równowartość 50</w:t>
      </w:r>
      <w:r w:rsidR="00CB4DDE">
        <w:rPr>
          <w:rFonts w:cs="Times New Roman"/>
          <w:szCs w:val="24"/>
        </w:rPr>
        <w:t> </w:t>
      </w:r>
      <w:r w:rsidR="00747744" w:rsidRPr="00C4755C">
        <w:rPr>
          <w:rFonts w:cs="Times New Roman"/>
          <w:szCs w:val="24"/>
        </w:rPr>
        <w:t>000</w:t>
      </w:r>
      <w:r w:rsidR="00CB4DDE">
        <w:rPr>
          <w:rFonts w:cs="Times New Roman"/>
          <w:szCs w:val="24"/>
        </w:rPr>
        <w:t> </w:t>
      </w:r>
      <w:r w:rsidR="00067419" w:rsidRPr="00C4755C">
        <w:rPr>
          <w:rFonts w:cs="Times New Roman"/>
          <w:szCs w:val="24"/>
        </w:rPr>
        <w:t>000 euro</w:t>
      </w:r>
      <w:r w:rsidR="00DA26B7" w:rsidRPr="00C4755C">
        <w:rPr>
          <w:rFonts w:cs="Times New Roman"/>
          <w:szCs w:val="24"/>
        </w:rPr>
        <w:t>,</w:t>
      </w:r>
      <w:r w:rsidR="00067419" w:rsidRPr="00C4755C">
        <w:rPr>
          <w:rFonts w:cs="Times New Roman"/>
          <w:szCs w:val="24"/>
        </w:rPr>
        <w:t xml:space="preserve"> jeżeli nie będzie możliwe ustalenie wysokości przychodu </w:t>
      </w:r>
      <w:r w:rsidR="00775424" w:rsidRPr="00C4755C">
        <w:rPr>
          <w:rFonts w:cs="Times New Roman"/>
          <w:szCs w:val="24"/>
        </w:rPr>
        <w:t>danego podmiotu</w:t>
      </w:r>
      <w:r w:rsidR="00067419" w:rsidRPr="00C4755C">
        <w:rPr>
          <w:rFonts w:cs="Times New Roman"/>
          <w:szCs w:val="24"/>
        </w:rPr>
        <w:t>.</w:t>
      </w:r>
    </w:p>
    <w:p w14:paraId="267A5649" w14:textId="03B46F5C" w:rsidR="00A06CCB" w:rsidRPr="00C4755C" w:rsidRDefault="00A06CCB" w:rsidP="00C4755C">
      <w:pPr>
        <w:spacing w:before="120"/>
        <w:jc w:val="both"/>
        <w:rPr>
          <w:rFonts w:cs="Times New Roman"/>
          <w:szCs w:val="24"/>
        </w:rPr>
      </w:pPr>
      <w:r w:rsidRPr="00C4755C">
        <w:rPr>
          <w:rFonts w:cs="Times New Roman"/>
          <w:szCs w:val="24"/>
        </w:rPr>
        <w:lastRenderedPageBreak/>
        <w:t>Zgodnie z projektowanymi przepisami, w sprawach nieuregulowanych w ustawie, do postępowania przed Prezesem UOKiK będą miały zastosowanie przepisy Kodeksu postępowania administracyjnego, z wyłączeniem art. 31, który dotyczy udziału organizacji społecznych w postępowaniu. Ze względu na specy</w:t>
      </w:r>
      <w:r w:rsidR="00F3246B" w:rsidRPr="00C4755C">
        <w:rPr>
          <w:rFonts w:cs="Times New Roman"/>
          <w:szCs w:val="24"/>
        </w:rPr>
        <w:t>fikę przedmiotu postępowania, w</w:t>
      </w:r>
      <w:r w:rsidR="00C4755C">
        <w:rPr>
          <w:rFonts w:cs="Times New Roman"/>
          <w:szCs w:val="24"/>
        </w:rPr>
        <w:t xml:space="preserve"> </w:t>
      </w:r>
      <w:r w:rsidRPr="00C4755C">
        <w:rPr>
          <w:rFonts w:cs="Times New Roman"/>
          <w:szCs w:val="24"/>
        </w:rPr>
        <w:t>trakcie którego badane będą dokumenty finansowe i handlowe przedsiębiorcy, udział organizacji społecznych nie jest zasadny i nie byłby celowy, gdyż ze względu na tajemnicę handlową organizacja społeczna nie mogłaby się za</w:t>
      </w:r>
      <w:r w:rsidR="00F3246B" w:rsidRPr="00C4755C">
        <w:rPr>
          <w:rFonts w:cs="Times New Roman"/>
          <w:szCs w:val="24"/>
        </w:rPr>
        <w:t>poznać z aktami postępowania. W</w:t>
      </w:r>
      <w:r w:rsidR="00C4755C">
        <w:rPr>
          <w:rFonts w:cs="Times New Roman"/>
          <w:szCs w:val="24"/>
        </w:rPr>
        <w:t xml:space="preserve"> </w:t>
      </w:r>
      <w:r w:rsidRPr="00C4755C">
        <w:rPr>
          <w:rFonts w:cs="Times New Roman"/>
          <w:szCs w:val="24"/>
        </w:rPr>
        <w:t>związku ze</w:t>
      </w:r>
      <w:r w:rsidR="00584C51" w:rsidRPr="00C4755C">
        <w:rPr>
          <w:rFonts w:cs="Times New Roman"/>
          <w:szCs w:val="24"/>
        </w:rPr>
        <w:t xml:space="preserve"> </w:t>
      </w:r>
      <w:r w:rsidRPr="00C4755C">
        <w:rPr>
          <w:rFonts w:cs="Times New Roman"/>
          <w:szCs w:val="24"/>
        </w:rPr>
        <w:t>stosowaniem przepisów Kodeksu postępowania administracyjne</w:t>
      </w:r>
      <w:r w:rsidR="00F3246B" w:rsidRPr="00C4755C">
        <w:rPr>
          <w:rFonts w:cs="Times New Roman"/>
          <w:szCs w:val="24"/>
        </w:rPr>
        <w:t>go, w</w:t>
      </w:r>
      <w:r w:rsidR="00C4755C">
        <w:rPr>
          <w:rFonts w:cs="Times New Roman"/>
          <w:szCs w:val="24"/>
        </w:rPr>
        <w:t xml:space="preserve"> </w:t>
      </w:r>
      <w:r w:rsidRPr="00C4755C">
        <w:rPr>
          <w:rFonts w:cs="Times New Roman"/>
          <w:szCs w:val="24"/>
        </w:rPr>
        <w:t>sprawie decyzji wydanej przez Prezesa UOKiK nakładającej karę pieniężną, będzie przysługiwał wniosek o</w:t>
      </w:r>
      <w:r w:rsidR="00584C51" w:rsidRPr="00C4755C">
        <w:rPr>
          <w:rFonts w:cs="Times New Roman"/>
          <w:szCs w:val="24"/>
        </w:rPr>
        <w:t xml:space="preserve"> </w:t>
      </w:r>
      <w:r w:rsidRPr="00C4755C">
        <w:rPr>
          <w:rFonts w:cs="Times New Roman"/>
          <w:szCs w:val="24"/>
        </w:rPr>
        <w:t>ponowne rozpatrzenie sprawy oraz będzie możliwe złożenie skargi do wojewódzkiego sądu administracyjnego.</w:t>
      </w:r>
      <w:r w:rsidR="00AA105E" w:rsidRPr="00C4755C">
        <w:rPr>
          <w:rFonts w:cs="Times New Roman"/>
          <w:szCs w:val="24"/>
        </w:rPr>
        <w:t xml:space="preserve"> Natomiast droga procesu cywilnego do skarżenia decyzji Prezesa UOKiK – właściwa dla postępowania antymonopolowego – została wprost wyłączona ze względu na systemową prawidłowość skarżenia decyzji wydanych w oparciu o </w:t>
      </w:r>
      <w:r w:rsidR="00E270DB">
        <w:rPr>
          <w:rFonts w:cs="Times New Roman"/>
          <w:szCs w:val="24"/>
        </w:rPr>
        <w:t>K</w:t>
      </w:r>
      <w:r w:rsidR="00AA105E" w:rsidRPr="00C4755C">
        <w:rPr>
          <w:rFonts w:cs="Times New Roman"/>
          <w:szCs w:val="24"/>
        </w:rPr>
        <w:t>odeks postępowania administracyjnego w postępowaniu sądowo</w:t>
      </w:r>
      <w:r w:rsidR="00EB690D" w:rsidRPr="00C4755C">
        <w:rPr>
          <w:rFonts w:cs="Times New Roman"/>
          <w:szCs w:val="24"/>
        </w:rPr>
        <w:t>-</w:t>
      </w:r>
      <w:r w:rsidR="00AA105E" w:rsidRPr="00C4755C">
        <w:rPr>
          <w:rFonts w:cs="Times New Roman"/>
          <w:szCs w:val="24"/>
        </w:rPr>
        <w:t>administracyjnym.</w:t>
      </w:r>
    </w:p>
    <w:p w14:paraId="7445BEFB" w14:textId="62546AA5" w:rsidR="00A06CCB" w:rsidRPr="00C4755C" w:rsidRDefault="00A06CCB" w:rsidP="00C4755C">
      <w:pPr>
        <w:spacing w:before="120"/>
        <w:jc w:val="both"/>
        <w:rPr>
          <w:rFonts w:cs="Times New Roman"/>
          <w:szCs w:val="24"/>
        </w:rPr>
      </w:pPr>
      <w:r w:rsidRPr="00C4755C">
        <w:rPr>
          <w:rFonts w:cs="Times New Roman"/>
          <w:szCs w:val="24"/>
        </w:rPr>
        <w:t>Zgodnie z projektowanymi przepisami, Prezes UOKiK będzie publikował na stronie internetowej Urzędu Ochrony Konkurencji i Konsumentów w całości treść postanowienia o</w:t>
      </w:r>
      <w:r w:rsidR="00C4755C">
        <w:rPr>
          <w:rFonts w:cs="Times New Roman"/>
          <w:szCs w:val="24"/>
        </w:rPr>
        <w:t xml:space="preserve"> </w:t>
      </w:r>
      <w:r w:rsidRPr="00C4755C">
        <w:rPr>
          <w:rFonts w:cs="Times New Roman"/>
          <w:szCs w:val="24"/>
        </w:rPr>
        <w:t xml:space="preserve">wszczęciu postępowania w sprawie nałożenia kary pieniężnej oraz decyzji wydawanych na podstawie przepisów ustawy, z zastrzeżeniem że publikacja nie będzie obejmować tajemnicy przedsiębiorstwa, jak również innych informacji podlegających ochronie na podstawie odrębnych przepisów. Publikacja </w:t>
      </w:r>
      <w:r w:rsidR="00831FDA" w:rsidRPr="00C4755C">
        <w:rPr>
          <w:rFonts w:cs="Times New Roman"/>
          <w:szCs w:val="24"/>
        </w:rPr>
        <w:t xml:space="preserve">treści </w:t>
      </w:r>
      <w:r w:rsidRPr="00C4755C">
        <w:rPr>
          <w:rFonts w:cs="Times New Roman"/>
          <w:szCs w:val="24"/>
        </w:rPr>
        <w:t>decyzji będzie opatrzona informacją, czy decyzja jest prawomocna.</w:t>
      </w:r>
    </w:p>
    <w:p w14:paraId="2E600D87" w14:textId="4717839E" w:rsidR="00B12553" w:rsidRPr="00C4755C" w:rsidRDefault="00B12553" w:rsidP="00C4755C">
      <w:pPr>
        <w:spacing w:before="120"/>
        <w:jc w:val="both"/>
        <w:rPr>
          <w:rFonts w:cs="Times New Roman"/>
          <w:szCs w:val="24"/>
        </w:rPr>
      </w:pPr>
      <w:r w:rsidRPr="00C4755C">
        <w:rPr>
          <w:rFonts w:cs="Times New Roman"/>
          <w:szCs w:val="24"/>
        </w:rPr>
        <w:t xml:space="preserve">Upublicznienie tej informacji będzie miało walor ostrzegawczy w przypadku firm zainteresowanych współpracą z danym podmiotem. Często bowiem nierzetelni dłużnicy nie są zgłaszani do Krajowego Rejestru Długów albowiem ich kontrahenci </w:t>
      </w:r>
      <w:r w:rsidR="001571F2" w:rsidRPr="00C4755C">
        <w:rPr>
          <w:rFonts w:cs="Times New Roman"/>
          <w:szCs w:val="24"/>
        </w:rPr>
        <w:t>obawiają</w:t>
      </w:r>
      <w:r w:rsidRPr="00C4755C">
        <w:rPr>
          <w:rFonts w:cs="Times New Roman"/>
          <w:szCs w:val="24"/>
        </w:rPr>
        <w:t xml:space="preserve"> się utraty rynku zbytu. Publikacja danych przedsiębiorców notorycznie łamiących przepisy przez organy państwa likwiduj</w:t>
      </w:r>
      <w:r w:rsidR="007E6FAA" w:rsidRPr="00C4755C">
        <w:rPr>
          <w:rFonts w:cs="Times New Roman"/>
          <w:szCs w:val="24"/>
        </w:rPr>
        <w:t>e</w:t>
      </w:r>
      <w:r w:rsidRPr="00C4755C">
        <w:rPr>
          <w:rFonts w:cs="Times New Roman"/>
          <w:szCs w:val="24"/>
        </w:rPr>
        <w:t xml:space="preserve"> lukę informacyjną w tym zakresie.</w:t>
      </w:r>
    </w:p>
    <w:p w14:paraId="7EE02270" w14:textId="2026D0F7" w:rsidR="005F54B1" w:rsidRPr="00C4755C" w:rsidRDefault="005F54B1" w:rsidP="00C4755C">
      <w:pPr>
        <w:spacing w:before="120"/>
        <w:jc w:val="both"/>
        <w:rPr>
          <w:rFonts w:cs="Times New Roman"/>
          <w:szCs w:val="24"/>
        </w:rPr>
      </w:pPr>
      <w:r w:rsidRPr="00C4755C">
        <w:rPr>
          <w:rFonts w:cs="Times New Roman"/>
          <w:szCs w:val="24"/>
        </w:rPr>
        <w:t xml:space="preserve">Prezes Urzędu będzie przedstawiał Prezesowi Rady Ministrów, nie później niż do końca pierwszego kwartału roku następnego, sprawozdanie z prowadzonych </w:t>
      </w:r>
      <w:r w:rsidR="00A85AA2" w:rsidRPr="00C4755C">
        <w:rPr>
          <w:rFonts w:cs="Times New Roman"/>
          <w:szCs w:val="24"/>
        </w:rPr>
        <w:t xml:space="preserve">w roku poprzednim </w:t>
      </w:r>
      <w:r w:rsidRPr="00C4755C">
        <w:rPr>
          <w:rFonts w:cs="Times New Roman"/>
          <w:szCs w:val="24"/>
        </w:rPr>
        <w:t>post</w:t>
      </w:r>
      <w:r w:rsidR="007E6FAA" w:rsidRPr="00C4755C">
        <w:rPr>
          <w:rFonts w:cs="Times New Roman"/>
          <w:szCs w:val="24"/>
        </w:rPr>
        <w:t>ę</w:t>
      </w:r>
      <w:r w:rsidRPr="00C4755C">
        <w:rPr>
          <w:rFonts w:cs="Times New Roman"/>
          <w:szCs w:val="24"/>
        </w:rPr>
        <w:t xml:space="preserve">powań w sprawie </w:t>
      </w:r>
      <w:r w:rsidR="00FA5480" w:rsidRPr="00C4755C">
        <w:rPr>
          <w:rFonts w:cs="Times New Roman"/>
          <w:szCs w:val="24"/>
        </w:rPr>
        <w:t xml:space="preserve">nadmiernego </w:t>
      </w:r>
      <w:r w:rsidRPr="00C4755C">
        <w:rPr>
          <w:rFonts w:cs="Times New Roman"/>
          <w:szCs w:val="24"/>
        </w:rPr>
        <w:t>opóźni</w:t>
      </w:r>
      <w:r w:rsidR="00FA5480" w:rsidRPr="00C4755C">
        <w:rPr>
          <w:rFonts w:cs="Times New Roman"/>
          <w:szCs w:val="24"/>
        </w:rPr>
        <w:t>ania</w:t>
      </w:r>
      <w:r w:rsidRPr="00C4755C">
        <w:rPr>
          <w:rFonts w:cs="Times New Roman"/>
          <w:szCs w:val="24"/>
        </w:rPr>
        <w:t xml:space="preserve"> </w:t>
      </w:r>
      <w:r w:rsidR="00FA5480" w:rsidRPr="00C4755C">
        <w:rPr>
          <w:rFonts w:cs="Times New Roman"/>
          <w:szCs w:val="24"/>
        </w:rPr>
        <w:t xml:space="preserve">się </w:t>
      </w:r>
      <w:r w:rsidR="00A85AA2" w:rsidRPr="00C4755C">
        <w:rPr>
          <w:rFonts w:cs="Times New Roman"/>
          <w:szCs w:val="24"/>
        </w:rPr>
        <w:t xml:space="preserve">ze </w:t>
      </w:r>
      <w:r w:rsidRPr="00C4755C">
        <w:rPr>
          <w:rFonts w:cs="Times New Roman"/>
          <w:szCs w:val="24"/>
        </w:rPr>
        <w:t>spełniani</w:t>
      </w:r>
      <w:r w:rsidR="001571F2" w:rsidRPr="00C4755C">
        <w:rPr>
          <w:rFonts w:cs="Times New Roman"/>
          <w:szCs w:val="24"/>
        </w:rPr>
        <w:t>em</w:t>
      </w:r>
      <w:r w:rsidRPr="00C4755C">
        <w:rPr>
          <w:rFonts w:cs="Times New Roman"/>
          <w:szCs w:val="24"/>
        </w:rPr>
        <w:t xml:space="preserve"> świadczeń pieniężnych.</w:t>
      </w:r>
    </w:p>
    <w:p w14:paraId="73FE60A6" w14:textId="3C20CCFA" w:rsidR="0078508A" w:rsidRPr="00C4755C" w:rsidRDefault="003104A8" w:rsidP="00C4755C">
      <w:pPr>
        <w:spacing w:before="120"/>
        <w:jc w:val="both"/>
        <w:rPr>
          <w:rFonts w:cs="Times New Roman"/>
          <w:b/>
          <w:i/>
          <w:szCs w:val="24"/>
        </w:rPr>
      </w:pPr>
      <w:r w:rsidRPr="00C4755C">
        <w:rPr>
          <w:rFonts w:cs="Times New Roman"/>
          <w:b/>
          <w:i/>
          <w:szCs w:val="24"/>
        </w:rPr>
        <w:t>1</w:t>
      </w:r>
      <w:r w:rsidR="00B159F7" w:rsidRPr="00C4755C">
        <w:rPr>
          <w:rFonts w:cs="Times New Roman"/>
          <w:b/>
          <w:i/>
          <w:szCs w:val="24"/>
        </w:rPr>
        <w:t>2</w:t>
      </w:r>
      <w:r w:rsidR="0078508A" w:rsidRPr="00C4755C">
        <w:rPr>
          <w:rFonts w:cs="Times New Roman"/>
          <w:b/>
          <w:i/>
          <w:szCs w:val="24"/>
        </w:rPr>
        <w:t>) Identyfikacja dużego przedsiębiorcy</w:t>
      </w:r>
    </w:p>
    <w:p w14:paraId="1BB56015" w14:textId="17B5A7BA" w:rsidR="002675C6" w:rsidRPr="00C4755C" w:rsidRDefault="002675C6" w:rsidP="00C4755C">
      <w:pPr>
        <w:spacing w:before="120"/>
        <w:jc w:val="both"/>
        <w:rPr>
          <w:rFonts w:cs="Times New Roman"/>
          <w:szCs w:val="24"/>
        </w:rPr>
      </w:pPr>
      <w:r w:rsidRPr="00C4755C">
        <w:rPr>
          <w:rFonts w:cs="Times New Roman"/>
          <w:szCs w:val="24"/>
        </w:rPr>
        <w:lastRenderedPageBreak/>
        <w:t xml:space="preserve">Projektowana regulacja zobowiązuje dłużnika będącego dużym przedsiębiorcą do </w:t>
      </w:r>
      <w:r w:rsidR="00C40271" w:rsidRPr="00C4755C">
        <w:rPr>
          <w:rFonts w:cs="Times New Roman"/>
          <w:szCs w:val="24"/>
        </w:rPr>
        <w:t>złożenia drugiej stronie transakcji handlowej oświadczenia w tej kwestii</w:t>
      </w:r>
      <w:r w:rsidRPr="00C4755C">
        <w:rPr>
          <w:rFonts w:cs="Times New Roman"/>
          <w:szCs w:val="24"/>
        </w:rPr>
        <w:t xml:space="preserve">. Oświadczenie należy złożyć </w:t>
      </w:r>
      <w:r w:rsidR="00C40271" w:rsidRPr="00C4755C">
        <w:rPr>
          <w:rFonts w:cs="Times New Roman"/>
          <w:szCs w:val="24"/>
        </w:rPr>
        <w:t xml:space="preserve">najpóźniej w momencie zawarcia transakcji handlowej – </w:t>
      </w:r>
      <w:r w:rsidRPr="00C4755C">
        <w:rPr>
          <w:rFonts w:cs="Times New Roman"/>
          <w:szCs w:val="24"/>
        </w:rPr>
        <w:t xml:space="preserve">w formie, w jakiej zawierana </w:t>
      </w:r>
      <w:r w:rsidR="00C40271" w:rsidRPr="00C4755C">
        <w:rPr>
          <w:rFonts w:cs="Times New Roman"/>
          <w:szCs w:val="24"/>
        </w:rPr>
        <w:t xml:space="preserve">jest </w:t>
      </w:r>
      <w:r w:rsidR="001571F2" w:rsidRPr="00C4755C">
        <w:rPr>
          <w:rFonts w:cs="Times New Roman"/>
          <w:szCs w:val="24"/>
        </w:rPr>
        <w:t>transakcja</w:t>
      </w:r>
      <w:r w:rsidR="00C40271" w:rsidRPr="00C4755C">
        <w:rPr>
          <w:rFonts w:cs="Times New Roman"/>
          <w:szCs w:val="24"/>
        </w:rPr>
        <w:t>. W celu egzekwowania tego obowiązku wprowadzono sankcję karną za niezłożenie oświadczenia albo złożenie oświadczenia niezgodnego z prawdą (art. 13 za).</w:t>
      </w:r>
    </w:p>
    <w:p w14:paraId="2F755F00" w14:textId="51646145" w:rsidR="00310A3C" w:rsidRPr="00C4755C" w:rsidRDefault="003104A8" w:rsidP="00C4755C">
      <w:pPr>
        <w:spacing w:before="120"/>
        <w:jc w:val="both"/>
        <w:rPr>
          <w:rFonts w:cs="Times New Roman"/>
          <w:b/>
          <w:i/>
          <w:szCs w:val="24"/>
        </w:rPr>
      </w:pPr>
      <w:r w:rsidRPr="00C4755C">
        <w:rPr>
          <w:rFonts w:cs="Times New Roman"/>
          <w:b/>
          <w:i/>
          <w:szCs w:val="24"/>
        </w:rPr>
        <w:t>1</w:t>
      </w:r>
      <w:r w:rsidR="00B159F7" w:rsidRPr="00C4755C">
        <w:rPr>
          <w:rFonts w:cs="Times New Roman"/>
          <w:b/>
          <w:i/>
          <w:szCs w:val="24"/>
        </w:rPr>
        <w:t>3</w:t>
      </w:r>
      <w:r w:rsidR="000C1142" w:rsidRPr="00C4755C">
        <w:rPr>
          <w:rFonts w:cs="Times New Roman"/>
          <w:b/>
          <w:i/>
          <w:szCs w:val="24"/>
        </w:rPr>
        <w:t xml:space="preserve">) </w:t>
      </w:r>
      <w:r w:rsidR="00310A3C" w:rsidRPr="00C4755C">
        <w:rPr>
          <w:rFonts w:cs="Times New Roman"/>
          <w:b/>
          <w:i/>
          <w:szCs w:val="24"/>
        </w:rPr>
        <w:t>Inne przepisy ustawy o terminach zapłaty w transakcjach handlowych</w:t>
      </w:r>
    </w:p>
    <w:p w14:paraId="44CA5067" w14:textId="25A376AC" w:rsidR="00ED7BAB" w:rsidRPr="00C4755C" w:rsidRDefault="00474ED8"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Projektowany art. 8 ust. 4a ma na celu </w:t>
      </w:r>
      <w:r w:rsidR="00546AA6" w:rsidRPr="00C4755C">
        <w:rPr>
          <w:rFonts w:ascii="Times New Roman" w:hAnsi="Times New Roman" w:cs="Times New Roman"/>
          <w:szCs w:val="24"/>
        </w:rPr>
        <w:t xml:space="preserve">wyrażenie wprost </w:t>
      </w:r>
      <w:r w:rsidRPr="00C4755C">
        <w:rPr>
          <w:rFonts w:ascii="Times New Roman" w:hAnsi="Times New Roman" w:cs="Times New Roman"/>
          <w:szCs w:val="24"/>
        </w:rPr>
        <w:t>w ustawie</w:t>
      </w:r>
      <w:r w:rsidR="0013013E" w:rsidRPr="00C4755C">
        <w:rPr>
          <w:rFonts w:ascii="Times New Roman" w:hAnsi="Times New Roman" w:cs="Times New Roman"/>
          <w:szCs w:val="24"/>
        </w:rPr>
        <w:t xml:space="preserve"> uprawnienia wierzyciela do naliczenia odsetek w transakcjach</w:t>
      </w:r>
      <w:r w:rsidR="00546AA6" w:rsidRPr="00C4755C">
        <w:rPr>
          <w:rFonts w:ascii="Times New Roman" w:hAnsi="Times New Roman" w:cs="Times New Roman"/>
          <w:szCs w:val="24"/>
        </w:rPr>
        <w:t xml:space="preserve"> handlowych, w których dłużnikiem jest podmiot leczniczy</w:t>
      </w:r>
      <w:r w:rsidR="00A338B6" w:rsidRPr="00C4755C">
        <w:rPr>
          <w:rFonts w:ascii="Times New Roman" w:hAnsi="Times New Roman" w:cs="Times New Roman"/>
          <w:szCs w:val="24"/>
        </w:rPr>
        <w:t>,</w:t>
      </w:r>
      <w:r w:rsidR="0013013E" w:rsidRPr="00C4755C">
        <w:rPr>
          <w:rFonts w:ascii="Times New Roman" w:hAnsi="Times New Roman" w:cs="Times New Roman"/>
          <w:szCs w:val="24"/>
        </w:rPr>
        <w:t xml:space="preserve"> jeżeli termin </w:t>
      </w:r>
      <w:r w:rsidR="001571F2" w:rsidRPr="00C4755C">
        <w:rPr>
          <w:rFonts w:ascii="Times New Roman" w:hAnsi="Times New Roman" w:cs="Times New Roman"/>
          <w:szCs w:val="24"/>
        </w:rPr>
        <w:t>zapłaty</w:t>
      </w:r>
      <w:r w:rsidR="0013013E" w:rsidRPr="00C4755C">
        <w:rPr>
          <w:rFonts w:ascii="Times New Roman" w:hAnsi="Times New Roman" w:cs="Times New Roman"/>
          <w:szCs w:val="24"/>
        </w:rPr>
        <w:t xml:space="preserve"> ustalony w umowie bezprawnie przekracza 60 dni.</w:t>
      </w:r>
    </w:p>
    <w:p w14:paraId="29AA8FE0" w14:textId="59C946E4" w:rsidR="00605CEA" w:rsidRPr="00C4755C" w:rsidRDefault="00474ED8"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Zmiany w przepisie art. 12 ust. 1 polegają na uzupełnieniu odesłań do dodawanych przepisów ustawy, tj. </w:t>
      </w:r>
      <w:r w:rsidR="009E1D00" w:rsidRPr="00C4755C">
        <w:rPr>
          <w:rFonts w:ascii="Times New Roman" w:hAnsi="Times New Roman" w:cs="Times New Roman"/>
          <w:szCs w:val="24"/>
        </w:rPr>
        <w:t xml:space="preserve">o </w:t>
      </w:r>
      <w:r w:rsidRPr="00C4755C">
        <w:rPr>
          <w:rFonts w:ascii="Times New Roman" w:hAnsi="Times New Roman" w:cs="Times New Roman"/>
          <w:szCs w:val="24"/>
        </w:rPr>
        <w:t>art. 8 ust. 4a.</w:t>
      </w:r>
      <w:r w:rsidR="000C1142" w:rsidRPr="00C4755C" w:rsidDel="003001E1">
        <w:rPr>
          <w:rFonts w:ascii="Times New Roman" w:hAnsi="Times New Roman" w:cs="Times New Roman"/>
          <w:szCs w:val="24"/>
        </w:rPr>
        <w:t xml:space="preserve"> </w:t>
      </w:r>
      <w:r w:rsidR="005143E8" w:rsidRPr="00C4755C">
        <w:rPr>
          <w:rFonts w:ascii="Times New Roman" w:hAnsi="Times New Roman" w:cs="Times New Roman"/>
          <w:szCs w:val="24"/>
        </w:rPr>
        <w:t xml:space="preserve">Ponadto </w:t>
      </w:r>
      <w:r w:rsidR="00DA26B7" w:rsidRPr="00C4755C">
        <w:rPr>
          <w:rFonts w:ascii="Times New Roman" w:hAnsi="Times New Roman" w:cs="Times New Roman"/>
          <w:szCs w:val="24"/>
        </w:rPr>
        <w:t xml:space="preserve">w celu zapewnienia większej przejrzystości przepisów </w:t>
      </w:r>
      <w:r w:rsidR="005143E8" w:rsidRPr="00C4755C">
        <w:rPr>
          <w:rFonts w:ascii="Times New Roman" w:hAnsi="Times New Roman" w:cs="Times New Roman"/>
          <w:szCs w:val="24"/>
        </w:rPr>
        <w:t xml:space="preserve">w art. 4 wprowadzono definicje </w:t>
      </w:r>
      <w:r w:rsidR="00DA26B7" w:rsidRPr="00C4755C">
        <w:rPr>
          <w:rFonts w:ascii="Times New Roman" w:hAnsi="Times New Roman" w:cs="Times New Roman"/>
          <w:szCs w:val="24"/>
        </w:rPr>
        <w:t>„świadczenia pieniężnego”,</w:t>
      </w:r>
      <w:r w:rsidR="00DA26B7" w:rsidRPr="00C4755C">
        <w:rPr>
          <w:rFonts w:ascii="Times New Roman" w:eastAsia="Calibri" w:hAnsi="Times New Roman" w:cs="Times New Roman"/>
          <w:bCs w:val="0"/>
          <w:szCs w:val="24"/>
          <w:lang w:eastAsia="en-US"/>
        </w:rPr>
        <w:t xml:space="preserve"> </w:t>
      </w:r>
      <w:r w:rsidR="00DA26B7" w:rsidRPr="00C4755C">
        <w:rPr>
          <w:rFonts w:ascii="Times New Roman" w:hAnsi="Times New Roman" w:cs="Times New Roman"/>
          <w:szCs w:val="24"/>
        </w:rPr>
        <w:t>„podmiotu lecznicz</w:t>
      </w:r>
      <w:r w:rsidR="002E30E3" w:rsidRPr="00C4755C">
        <w:rPr>
          <w:rFonts w:ascii="Times New Roman" w:hAnsi="Times New Roman" w:cs="Times New Roman"/>
          <w:szCs w:val="24"/>
        </w:rPr>
        <w:t>e</w:t>
      </w:r>
      <w:r w:rsidR="00DA26B7" w:rsidRPr="00C4755C">
        <w:rPr>
          <w:rFonts w:ascii="Times New Roman" w:hAnsi="Times New Roman" w:cs="Times New Roman"/>
          <w:szCs w:val="24"/>
        </w:rPr>
        <w:t>go”, „mikroprzedsiębiorcy, małego przedsiębiorcy, średniego przedsiębiorcy” i „dużego przedsiębiorcy”</w:t>
      </w:r>
      <w:r w:rsidR="005143E8" w:rsidRPr="00C4755C">
        <w:rPr>
          <w:rFonts w:ascii="Times New Roman" w:hAnsi="Times New Roman" w:cs="Times New Roman"/>
          <w:szCs w:val="24"/>
        </w:rPr>
        <w:t>. W konsekwencji tej zmiany zmody</w:t>
      </w:r>
      <w:r w:rsidR="000C61F4" w:rsidRPr="00C4755C">
        <w:rPr>
          <w:rFonts w:ascii="Times New Roman" w:hAnsi="Times New Roman" w:cs="Times New Roman"/>
          <w:szCs w:val="24"/>
        </w:rPr>
        <w:t>fikowano art. 5</w:t>
      </w:r>
      <w:r w:rsidR="007E6FAA" w:rsidRPr="00C4755C">
        <w:rPr>
          <w:rFonts w:ascii="Times New Roman" w:hAnsi="Times New Roman" w:cs="Times New Roman"/>
          <w:szCs w:val="24"/>
        </w:rPr>
        <w:t xml:space="preserve"> i</w:t>
      </w:r>
      <w:r w:rsidR="000C61F4" w:rsidRPr="00C4755C">
        <w:rPr>
          <w:rFonts w:ascii="Times New Roman" w:hAnsi="Times New Roman" w:cs="Times New Roman"/>
          <w:szCs w:val="24"/>
        </w:rPr>
        <w:t xml:space="preserve"> art. 8 ust. 2.</w:t>
      </w:r>
    </w:p>
    <w:p w14:paraId="5CC363BF" w14:textId="12F474BA" w:rsidR="002B05A6" w:rsidRPr="00C4755C" w:rsidRDefault="00DD177A" w:rsidP="00931E30">
      <w:pPr>
        <w:keepNext/>
        <w:spacing w:before="120"/>
        <w:jc w:val="both"/>
        <w:rPr>
          <w:rFonts w:cs="Times New Roman"/>
          <w:b/>
          <w:szCs w:val="24"/>
        </w:rPr>
      </w:pPr>
      <w:r w:rsidRPr="00C4755C">
        <w:rPr>
          <w:rFonts w:cs="Times New Roman"/>
          <w:b/>
          <w:szCs w:val="24"/>
        </w:rPr>
        <w:t>10</w:t>
      </w:r>
      <w:r w:rsidR="00E91A41" w:rsidRPr="00C4755C">
        <w:rPr>
          <w:rFonts w:cs="Times New Roman"/>
          <w:b/>
          <w:szCs w:val="24"/>
        </w:rPr>
        <w:t xml:space="preserve">. </w:t>
      </w:r>
      <w:r w:rsidR="00293825" w:rsidRPr="00C4755C">
        <w:rPr>
          <w:rFonts w:cs="Times New Roman"/>
          <w:b/>
          <w:szCs w:val="24"/>
        </w:rPr>
        <w:t xml:space="preserve">Zmiany w ustawie o zmianie ustawy </w:t>
      </w:r>
      <w:r w:rsidR="005414FE" w:rsidRPr="00C4755C">
        <w:rPr>
          <w:rFonts w:cs="Times New Roman"/>
          <w:b/>
          <w:szCs w:val="24"/>
        </w:rPr>
        <w:t>–</w:t>
      </w:r>
      <w:r w:rsidR="002B05A6" w:rsidRPr="00C4755C">
        <w:rPr>
          <w:rFonts w:cs="Times New Roman"/>
          <w:b/>
          <w:szCs w:val="24"/>
        </w:rPr>
        <w:t xml:space="preserve"> P</w:t>
      </w:r>
      <w:r w:rsidR="00CB4DDE">
        <w:rPr>
          <w:rFonts w:cs="Times New Roman"/>
          <w:b/>
          <w:szCs w:val="24"/>
        </w:rPr>
        <w:t>rawo zamówień publicznych (art. </w:t>
      </w:r>
      <w:r w:rsidR="002B05A6" w:rsidRPr="00C4755C">
        <w:rPr>
          <w:rFonts w:cs="Times New Roman"/>
          <w:b/>
          <w:szCs w:val="24"/>
        </w:rPr>
        <w:t>11 projektu)</w:t>
      </w:r>
    </w:p>
    <w:p w14:paraId="13BDB434" w14:textId="5515BD6F" w:rsidR="002B05A6" w:rsidRPr="00C4755C" w:rsidRDefault="002B05A6" w:rsidP="00931E30">
      <w:pPr>
        <w:pStyle w:val="ARTartustawynprozporzdzenia"/>
        <w:keepNext/>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 xml:space="preserve">Podstawowym celem projektowanych zmian w ustawie </w:t>
      </w:r>
      <w:r w:rsidR="008F5B40" w:rsidRPr="00C4755C">
        <w:rPr>
          <w:rFonts w:ascii="Times New Roman" w:eastAsia="Calibri" w:hAnsi="Times New Roman" w:cs="Times New Roman"/>
          <w:szCs w:val="24"/>
          <w:lang w:eastAsia="en-US"/>
        </w:rPr>
        <w:t xml:space="preserve">z dnia 22 czerwca 2016 r. o zmianie ustawy </w:t>
      </w:r>
      <w:r w:rsidR="00210CDB" w:rsidRPr="00C4755C">
        <w:rPr>
          <w:rFonts w:ascii="Times New Roman" w:hAnsi="Times New Roman" w:cs="Times New Roman"/>
          <w:szCs w:val="24"/>
        </w:rPr>
        <w:t>– Prawo zamówień publicznych or</w:t>
      </w:r>
      <w:r w:rsidR="00CB4DDE">
        <w:rPr>
          <w:rFonts w:ascii="Times New Roman" w:hAnsi="Times New Roman" w:cs="Times New Roman"/>
          <w:szCs w:val="24"/>
        </w:rPr>
        <w:t>az niektórych innych ustaw (Dz. </w:t>
      </w:r>
      <w:r w:rsidR="00210CDB" w:rsidRPr="00C4755C">
        <w:rPr>
          <w:rFonts w:ascii="Times New Roman" w:hAnsi="Times New Roman" w:cs="Times New Roman"/>
          <w:szCs w:val="24"/>
        </w:rPr>
        <w:t>U. poz. 1020,</w:t>
      </w:r>
      <w:r w:rsidR="00FA5480" w:rsidRPr="00C4755C">
        <w:rPr>
          <w:rFonts w:ascii="Times New Roman" w:hAnsi="Times New Roman" w:cs="Times New Roman"/>
          <w:szCs w:val="24"/>
        </w:rPr>
        <w:t xml:space="preserve"> z późn. zm.</w:t>
      </w:r>
      <w:r w:rsidR="00210CDB" w:rsidRPr="00C4755C">
        <w:rPr>
          <w:rFonts w:ascii="Times New Roman" w:hAnsi="Times New Roman" w:cs="Times New Roman"/>
          <w:szCs w:val="24"/>
        </w:rPr>
        <w:t xml:space="preserve">), dalej „ustawa o zmianie ustawy </w:t>
      </w:r>
      <w:proofErr w:type="spellStart"/>
      <w:r w:rsidR="00210CDB" w:rsidRPr="00C4755C">
        <w:rPr>
          <w:rFonts w:ascii="Times New Roman" w:hAnsi="Times New Roman" w:cs="Times New Roman"/>
          <w:szCs w:val="24"/>
        </w:rPr>
        <w:t>Pzp</w:t>
      </w:r>
      <w:proofErr w:type="spellEnd"/>
      <w:r w:rsidR="00210CDB" w:rsidRPr="00C4755C">
        <w:rPr>
          <w:rFonts w:ascii="Times New Roman" w:hAnsi="Times New Roman" w:cs="Times New Roman"/>
          <w:szCs w:val="24"/>
        </w:rPr>
        <w:t>”</w:t>
      </w:r>
      <w:r w:rsidR="00B812E5" w:rsidRPr="00C4755C">
        <w:rPr>
          <w:rFonts w:ascii="Times New Roman" w:hAnsi="Times New Roman" w:cs="Times New Roman"/>
          <w:szCs w:val="24"/>
        </w:rPr>
        <w:t>,</w:t>
      </w:r>
      <w:r w:rsidR="00210CDB" w:rsidRPr="00C4755C">
        <w:rPr>
          <w:rFonts w:ascii="Times New Roman" w:hAnsi="Times New Roman" w:cs="Times New Roman"/>
          <w:szCs w:val="24"/>
        </w:rPr>
        <w:t xml:space="preserve"> </w:t>
      </w:r>
      <w:r w:rsidRPr="00C4755C">
        <w:rPr>
          <w:rFonts w:ascii="Times New Roman" w:eastAsia="Calibri" w:hAnsi="Times New Roman" w:cs="Times New Roman"/>
          <w:szCs w:val="24"/>
          <w:lang w:eastAsia="en-US"/>
        </w:rPr>
        <w:t>jest przesunięcie w czasie obowiązku elektronizacji zamówień w odniesieniu do postępowań o udzielenie zamówienia publicznego, prowadzonych przez innych zamawiających niż centralny zamawiający, których wartość zamówienia jest poniżej progów unijnych.</w:t>
      </w:r>
    </w:p>
    <w:p w14:paraId="6546F765" w14:textId="77777777" w:rsidR="00B812E5" w:rsidRPr="00C4755C" w:rsidRDefault="00B812E5"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Projektowane zmiany przewidują przesunięcie, z dnia 1 stycznia 2020 r. na dzień 1 stycznia 2021 r., obowiązku wprowadzenia w tych postępowaniach komunikacji zamawiającego z wykonawcami wyłącznie przy użyciu środków komunikacji elektronicznej.</w:t>
      </w:r>
    </w:p>
    <w:p w14:paraId="6E8DB847" w14:textId="77777777" w:rsidR="00B812E5" w:rsidRPr="00C4755C" w:rsidRDefault="00B812E5"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 xml:space="preserve">Powyższe wymaga zmiany odpowiednich przepisów intertemporalnych w ustawie o zmianie ustawy </w:t>
      </w:r>
      <w:proofErr w:type="spellStart"/>
      <w:r w:rsidRPr="00C4755C">
        <w:rPr>
          <w:rFonts w:ascii="Times New Roman" w:eastAsia="Calibri" w:hAnsi="Times New Roman" w:cs="Times New Roman"/>
          <w:szCs w:val="24"/>
          <w:lang w:eastAsia="en-US"/>
        </w:rPr>
        <w:t>Pzp</w:t>
      </w:r>
      <w:proofErr w:type="spellEnd"/>
      <w:r w:rsidRPr="00C4755C">
        <w:rPr>
          <w:rFonts w:ascii="Times New Roman" w:eastAsia="Calibri" w:hAnsi="Times New Roman" w:cs="Times New Roman"/>
          <w:szCs w:val="24"/>
          <w:lang w:eastAsia="en-US"/>
        </w:rPr>
        <w:t xml:space="preserve">, regulujących kwestie komunikacji między zamawiającym a </w:t>
      </w:r>
      <w:r w:rsidRPr="00C4755C">
        <w:rPr>
          <w:rFonts w:ascii="Times New Roman" w:eastAsia="Calibri" w:hAnsi="Times New Roman" w:cs="Times New Roman"/>
          <w:szCs w:val="24"/>
          <w:lang w:eastAsia="en-US"/>
        </w:rPr>
        <w:lastRenderedPageBreak/>
        <w:t>wykonawcami w postępowaniach o udzielenie zamówienia publicznego, których wartość zamówienia jest poniżej progów unijnych.</w:t>
      </w:r>
    </w:p>
    <w:p w14:paraId="7925010A" w14:textId="21DF1B64" w:rsidR="00B812E5" w:rsidRPr="00C4755C" w:rsidRDefault="00B812E5"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 xml:space="preserve">Przepisy dyrektyw Unii Europejskiej dotyczące zamówień publicznych (dyrektywa 2014/24/UE oraz dyrektywa 2014/25/UE) nakazywały państwom członkowskim wprowadzenie obowiązkowej komunikacji w postępowaniach o udzielenie zamówienia publicznego, których wartość zamówienia jest równa lub przekracza kwoty określone w przepisach wydanych na podstawie art. 11 ust. 8 ustawy z dnia 29 stycznia 2004 r. – Prawo zamówień publicznych (Dz. U. z 2018 r. poz. 1986, z późn. zm.), dalej „ustawa </w:t>
      </w:r>
      <w:proofErr w:type="spellStart"/>
      <w:r w:rsidRPr="00C4755C">
        <w:rPr>
          <w:rFonts w:ascii="Times New Roman" w:eastAsia="Calibri" w:hAnsi="Times New Roman" w:cs="Times New Roman"/>
          <w:szCs w:val="24"/>
          <w:lang w:eastAsia="en-US"/>
        </w:rPr>
        <w:t>Pzp</w:t>
      </w:r>
      <w:proofErr w:type="spellEnd"/>
      <w:r w:rsidRPr="00C4755C">
        <w:rPr>
          <w:rFonts w:ascii="Times New Roman" w:eastAsia="Calibri" w:hAnsi="Times New Roman" w:cs="Times New Roman"/>
          <w:szCs w:val="24"/>
          <w:lang w:eastAsia="en-US"/>
        </w:rPr>
        <w:t>”, wyłącznie przy użyciu środków komunikacji elektronicznej, najpóźniej od dnia 18 października 2018 r. W przypadku zamawiających centralnych obowiązek ten istnieje od dnia 18 kwietnia 2017 r.</w:t>
      </w:r>
    </w:p>
    <w:p w14:paraId="703EE106" w14:textId="77777777" w:rsidR="008308E2" w:rsidRPr="00C4755C" w:rsidRDefault="008308E2"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Dalsze przesunięcie w czasie obowiązku pełnej elektronizacji zamówień w odniesieniu do postępowań o udzielenie zamówienia publicznego, prowadzonych przez innych zamawiających niż centralny zamawiający, których wartość zamówienia jest poniżej progów unijnych, jest konieczne z uwagi na brak na chwilę obecną ogólnodostępnych narzędzi umożliwiających pełne wdrożenie kompleksowego rozwiązania pozwalającego na profesjonalne i w pełni zautomatyzowane prowadzenie całego procesu udzielenia zamówienia publicznego. Należy bowiem podkreślić, że w marcu 2019 r. została rozwiązana umowa na zaprojektowanie i wdrożenie Platformy e-Zamówienia, która miała stanowić ogólnodostępne, kompleksowe rozwiązanie w zakresie procesu udzielania zamówień publicznych i umożliwić zamawiającym elektroniczne przeprowadzenie całego procesu udzielenia zamówienia publicznego.</w:t>
      </w:r>
    </w:p>
    <w:p w14:paraId="374B94FF" w14:textId="1B29E33F" w:rsidR="008308E2" w:rsidRPr="00C4755C" w:rsidRDefault="008308E2"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Natomiast Miniportal e-Zamówień jako ogólnie dostępne narzędzie do elektronicznej komunikacji między zamawiającym i wykonawcami (w tym składania ofert), oparte na wykorzystaniu narzędzi elektronicznych i publicznych usług funkcjonujących w państwowych zasobach, tj. Biuletynu Zamówień Publicznych i usług e-PUAP, z przyczyn technicznych nie jest w stanie zapewnić kompleksowej obsługi komunikacji elektroniczn</w:t>
      </w:r>
      <w:r w:rsidR="00CB4DDE">
        <w:rPr>
          <w:rFonts w:ascii="Times New Roman" w:eastAsia="Calibri" w:hAnsi="Times New Roman" w:cs="Times New Roman"/>
          <w:szCs w:val="24"/>
          <w:lang w:eastAsia="en-US"/>
        </w:rPr>
        <w:t>ej</w:t>
      </w:r>
      <w:r w:rsidRPr="00C4755C">
        <w:rPr>
          <w:rFonts w:ascii="Times New Roman" w:eastAsia="Calibri" w:hAnsi="Times New Roman" w:cs="Times New Roman"/>
          <w:szCs w:val="24"/>
          <w:lang w:eastAsia="en-US"/>
        </w:rPr>
        <w:t xml:space="preserve"> we wszystkich postępowaniach o wartości zamówienia poniżej progów unijnych, które stanowią ok. 74% całego rynku zamówień (wg. danych ze Sprawozdania Prezesa Urzędu Zamówień Publicznych o funkcjonowaniu systemu zamówień publicznych w 2017 r.). Narzędzie to zostało czasowo uruchomione, docelowo z przeznaczeniem dla postępowań powyżej progów unijnych. </w:t>
      </w:r>
    </w:p>
    <w:p w14:paraId="699FD12D" w14:textId="77777777" w:rsidR="008308E2" w:rsidRPr="00C4755C" w:rsidRDefault="008308E2"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lastRenderedPageBreak/>
        <w:t>Należy również podkreślić, że za przesunięciem pełnej elektronizacji zamówień publicznych w postępowaniach poniżej progów unijnych przemawiają dotychczasowe problemy związane z praktycznym zastosowaniem regulacji przewidujących pełną elektronizację zamówień publicznych w postępowaniach powyżej progów unijnych. Nie wszyscy bowiem zamawiający, a zwłaszcza wykonawcy są gotowi na obowiązkową i w pełni elektroniczną komunikację, tj. wyłącznie przy użyciu środków komunikacji elektronicznej. Z rynku zamówień publicznych wielokrotnie docierają sygnały, że mniejsi zamawiający, a zwłaszcza mikro, mali i średni przedsiębiorcy nie są jeszcze przygotowani, by nałożyć na nich obowiązek komunikacji wyłącznie przy użyciu specjalnie dedykowanych środków komunikacji elektronicznej (tj. platform, portali), w tym z zastosowaniem kwalifikowanego podpisu elektronicznego, zwłaszcza, że w największych postępowaniach wprowadzenie obowiązkowej elektronizacji wprowadziło czasowy paraliż i niepewność. Nadal wiele kwestii techniczno-prawnych pozostaje nierozwiązanych i powoduje trudności w praktycznym zastosowaniu.</w:t>
      </w:r>
    </w:p>
    <w:p w14:paraId="3328A3AF" w14:textId="5B163E27" w:rsidR="008308E2" w:rsidRPr="00C4755C" w:rsidRDefault="008308E2" w:rsidP="00C4755C">
      <w:pPr>
        <w:pStyle w:val="ARTartustawynprozporzdzenia"/>
        <w:ind w:firstLine="0"/>
        <w:rPr>
          <w:rFonts w:ascii="Times New Roman" w:eastAsia="Calibri" w:hAnsi="Times New Roman" w:cs="Times New Roman"/>
          <w:szCs w:val="24"/>
          <w:lang w:eastAsia="en-US"/>
        </w:rPr>
      </w:pPr>
      <w:r w:rsidRPr="00C4755C">
        <w:rPr>
          <w:rFonts w:ascii="Times New Roman" w:eastAsia="Calibri" w:hAnsi="Times New Roman" w:cs="Times New Roman"/>
          <w:szCs w:val="24"/>
          <w:lang w:eastAsia="en-US"/>
        </w:rPr>
        <w:t xml:space="preserve">W tym miejscu należy zauważyć, że obecne przepisy epizodyczne (art. 18a ustawy </w:t>
      </w:r>
      <w:r w:rsidR="00A16FD0" w:rsidRPr="00C4755C">
        <w:rPr>
          <w:rFonts w:ascii="Times New Roman" w:eastAsia="Calibri" w:hAnsi="Times New Roman" w:cs="Times New Roman"/>
          <w:szCs w:val="24"/>
          <w:lang w:eastAsia="en-US"/>
        </w:rPr>
        <w:t xml:space="preserve">o zmianie ustawy </w:t>
      </w:r>
      <w:proofErr w:type="spellStart"/>
      <w:r w:rsidR="00A16FD0" w:rsidRPr="00C4755C">
        <w:rPr>
          <w:rFonts w:ascii="Times New Roman" w:eastAsia="Calibri" w:hAnsi="Times New Roman" w:cs="Times New Roman"/>
          <w:szCs w:val="24"/>
          <w:lang w:eastAsia="en-US"/>
        </w:rPr>
        <w:t>Pzp</w:t>
      </w:r>
      <w:proofErr w:type="spellEnd"/>
      <w:r w:rsidRPr="00C4755C">
        <w:rPr>
          <w:rFonts w:ascii="Times New Roman" w:eastAsia="Calibri" w:hAnsi="Times New Roman" w:cs="Times New Roman"/>
          <w:szCs w:val="24"/>
          <w:lang w:eastAsia="en-US"/>
        </w:rPr>
        <w:t>) dają zmawiającym możliwość dopuszczenia komunikacji z wykonawcą (w tym składania ofert) również przy użyciu środków komunikacji elektronicznej.</w:t>
      </w:r>
    </w:p>
    <w:p w14:paraId="410C9914" w14:textId="61E7A524" w:rsidR="002B05A6" w:rsidRPr="00C4755C" w:rsidRDefault="002B05A6" w:rsidP="00C4755C">
      <w:pPr>
        <w:widowControl/>
        <w:autoSpaceDE/>
        <w:autoSpaceDN/>
        <w:adjustRightInd/>
        <w:spacing w:before="120"/>
        <w:jc w:val="both"/>
        <w:rPr>
          <w:rFonts w:eastAsia="Calibri" w:cs="Times New Roman"/>
          <w:bCs/>
          <w:szCs w:val="24"/>
          <w:lang w:eastAsia="en-US"/>
        </w:rPr>
      </w:pPr>
      <w:r w:rsidRPr="00C4755C">
        <w:rPr>
          <w:rFonts w:eastAsia="Calibri" w:cs="Times New Roman"/>
          <w:szCs w:val="24"/>
          <w:lang w:eastAsia="en-US"/>
        </w:rPr>
        <w:t xml:space="preserve">W myśl art. 15 ust. 1 pkt 1 ustawy o zmianie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na gruncie prawa krajowego, centralny zamawiający, o którym mowa w art. 15b ust. 1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obowiązany jest od dnia 18 kwietnia 2017 r. do komunikacji z wykonawcami wyłącznie przy użyciu środków komunikacji elektronicznej. Wymaga podkreślenia, że w przypadku centralnego zamawiającego obowiązek używania podczas postępowania wyłącznie środków komunikacji elektronicznej odnosi się także do zamówień, których wartość jest mniejsza niż kwoty określone w przepisach wyd</w:t>
      </w:r>
      <w:r w:rsidR="00B067C0">
        <w:rPr>
          <w:rFonts w:eastAsia="Calibri" w:cs="Times New Roman"/>
          <w:szCs w:val="24"/>
          <w:lang w:eastAsia="en-US"/>
        </w:rPr>
        <w:t>anych na podstawie art. 11 ust. </w:t>
      </w:r>
      <w:r w:rsidRPr="00C4755C">
        <w:rPr>
          <w:rFonts w:eastAsia="Calibri" w:cs="Times New Roman"/>
          <w:szCs w:val="24"/>
          <w:lang w:eastAsia="en-US"/>
        </w:rPr>
        <w:t xml:space="preserve">8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a więc o wartości poniżej progów unijnych. Zatem od dnia 18 kwietnia 2017 r. centralny zamawiający obowiązany jest do stosowania przepisów us</w:t>
      </w:r>
      <w:r w:rsidR="005414FE" w:rsidRPr="00C4755C">
        <w:rPr>
          <w:rFonts w:eastAsia="Calibri" w:cs="Times New Roman"/>
          <w:szCs w:val="24"/>
          <w:lang w:eastAsia="en-US"/>
        </w:rPr>
        <w:t xml:space="preserve">tawy </w:t>
      </w:r>
      <w:proofErr w:type="spellStart"/>
      <w:r w:rsidR="005414FE" w:rsidRPr="00C4755C">
        <w:rPr>
          <w:rFonts w:eastAsia="Calibri" w:cs="Times New Roman"/>
          <w:szCs w:val="24"/>
          <w:lang w:eastAsia="en-US"/>
        </w:rPr>
        <w:t>Pzp</w:t>
      </w:r>
      <w:proofErr w:type="spellEnd"/>
      <w:r w:rsidR="005414FE" w:rsidRPr="00C4755C">
        <w:rPr>
          <w:rFonts w:eastAsia="Calibri" w:cs="Times New Roman"/>
          <w:szCs w:val="24"/>
          <w:lang w:eastAsia="en-US"/>
        </w:rPr>
        <w:t xml:space="preserve"> zawartych w dziale I w</w:t>
      </w:r>
      <w:r w:rsidR="00C4755C">
        <w:rPr>
          <w:rFonts w:eastAsia="Calibri" w:cs="Times New Roman"/>
          <w:szCs w:val="24"/>
          <w:lang w:eastAsia="en-US"/>
        </w:rPr>
        <w:t xml:space="preserve"> </w:t>
      </w:r>
      <w:r w:rsidRPr="00C4755C">
        <w:rPr>
          <w:rFonts w:eastAsia="Calibri" w:cs="Times New Roman"/>
          <w:szCs w:val="24"/>
          <w:lang w:eastAsia="en-US"/>
        </w:rPr>
        <w:t>rozdziale 2a „</w:t>
      </w:r>
      <w:r w:rsidRPr="00C4755C">
        <w:rPr>
          <w:rFonts w:eastAsia="Calibri" w:cs="Times New Roman"/>
          <w:bCs/>
          <w:szCs w:val="24"/>
          <w:lang w:eastAsia="en-US"/>
        </w:rPr>
        <w:t>Komunikacja zamawiającego z wykonawcami”.</w:t>
      </w:r>
    </w:p>
    <w:p w14:paraId="1B595BAD" w14:textId="77777777" w:rsidR="002B05A6" w:rsidRPr="00C4755C" w:rsidRDefault="002B05A6"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Zgodnie z obecnym brzmieniem art. 15 ust. 1 pkt 2 ustawy o zmianie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na gruncie prawa krajowego, inni zamawiający niż centralny zamawiający, w przypadku zamówień o wartości równej lub przekraczającej kwoty określone w przepisach wydanych na podstawie art. 11 ust. 8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obowiązani są od dnia 18 października </w:t>
      </w:r>
      <w:r w:rsidRPr="00C4755C">
        <w:rPr>
          <w:rFonts w:eastAsia="Calibri" w:cs="Times New Roman"/>
          <w:szCs w:val="24"/>
          <w:lang w:eastAsia="en-US"/>
        </w:rPr>
        <w:lastRenderedPageBreak/>
        <w:t xml:space="preserve">2018 r. do stosowania przepisów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w zakresie, w jakim przewidują one obowiązek komunikacji zamawiającego z wykonawcą wyłącznie za pomocą środków komunikacji elektronicznej. </w:t>
      </w:r>
    </w:p>
    <w:p w14:paraId="4E1EB34B" w14:textId="30FFB105" w:rsidR="002B05A6" w:rsidRPr="00C4755C" w:rsidRDefault="002B05A6"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Zgodnie natomiast z brzmieniem art. 15 ust. 1 pkt 3 ustawy o zmianie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inni zamawiający niż centralny zamawiający, w przypadku zamówień o wartości mniejszej niż kwoty określone w przepisach wydanych na podstawie art. 11 ust. 8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obowiązani będą do stosowania przepisów dot</w:t>
      </w:r>
      <w:r w:rsidR="00B546DB">
        <w:rPr>
          <w:rFonts w:eastAsia="Calibri" w:cs="Times New Roman"/>
          <w:szCs w:val="24"/>
          <w:lang w:eastAsia="en-US"/>
        </w:rPr>
        <w:t>yczących</w:t>
      </w:r>
      <w:r w:rsidRPr="00C4755C">
        <w:rPr>
          <w:rFonts w:eastAsia="Calibri" w:cs="Times New Roman"/>
          <w:szCs w:val="24"/>
          <w:lang w:eastAsia="en-US"/>
        </w:rPr>
        <w:t xml:space="preserve"> pełnej elektronizacji od dnia 1 stycznia 2020 r.</w:t>
      </w:r>
    </w:p>
    <w:p w14:paraId="2FBB7324" w14:textId="5C36D695" w:rsidR="00382645" w:rsidRPr="00C4755C" w:rsidRDefault="00382645"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Ponadto odroczenie elektronizacji poniżej progów unijnych jest skorelowane z terminem wejścia w życie nowej ustawy – Prawo zamówień publicznych, która przewiduje bardziej liberalne i uproszczone rozwiązania w odniesieniu do zamówień i konkursów poniżej progów unijnych. Obecnie obowiązująca ustawa z dnia 29 stycznia 2004 r. – Prawo zamówień publicznych przewiduje w tym zakresie jednolite rozwiązania. Nie jest więc celowym czasowe (w praktyce jedynie na rok) wprowadzanie obowiązku komunikacji wyłącznie przy użyciu środków komunikacji elektronicznej na analogicznych zasadach jak w zamówieniach powyżej progów UE.</w:t>
      </w:r>
    </w:p>
    <w:p w14:paraId="0AD12DF9" w14:textId="77777777" w:rsidR="002B05A6" w:rsidRPr="00C4755C" w:rsidRDefault="002B05A6"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Biorąc pod uwagę dotychczasowe problemy związane z praktycznym zastosowaniem przepisów przewidujących pełną elektronizację zamówień publicznych w postępowaniach powyżej progów unijnych, zasadne wydaje się przesunięcie w czasie obowiązku pełnej elektronizacji zamówień w postępowaniach poniżej progów unijnych, tj. z dnia 1 stycznia 2020 r. na dzień 1 stycznia 2021 r.</w:t>
      </w:r>
    </w:p>
    <w:p w14:paraId="15DD6840" w14:textId="37AB0F48" w:rsidR="002B05A6" w:rsidRPr="00C4755C" w:rsidRDefault="002B05A6" w:rsidP="00C4755C">
      <w:pPr>
        <w:widowControl/>
        <w:autoSpaceDE/>
        <w:autoSpaceDN/>
        <w:adjustRightInd/>
        <w:spacing w:before="120"/>
        <w:jc w:val="both"/>
        <w:rPr>
          <w:rFonts w:eastAsia="Calibri" w:cs="Times New Roman"/>
          <w:szCs w:val="24"/>
          <w:u w:val="single"/>
          <w:lang w:eastAsia="en-US"/>
        </w:rPr>
      </w:pPr>
      <w:r w:rsidRPr="00C4755C">
        <w:rPr>
          <w:rFonts w:eastAsia="Calibri" w:cs="Times New Roman"/>
          <w:szCs w:val="24"/>
          <w:lang w:eastAsia="en-US"/>
        </w:rPr>
        <w:t xml:space="preserve">Mając na względzie powyższe, projektuje się zmianę brzmienia </w:t>
      </w:r>
      <w:r w:rsidR="00B067C0">
        <w:rPr>
          <w:rFonts w:eastAsia="Calibri" w:cs="Times New Roman"/>
          <w:szCs w:val="24"/>
          <w:u w:val="single"/>
          <w:lang w:eastAsia="en-US"/>
        </w:rPr>
        <w:t>pkt 3 w art. 15 ust. </w:t>
      </w:r>
      <w:r w:rsidRPr="00C4755C">
        <w:rPr>
          <w:rFonts w:eastAsia="Calibri" w:cs="Times New Roman"/>
          <w:szCs w:val="24"/>
          <w:u w:val="single"/>
          <w:lang w:eastAsia="en-US"/>
        </w:rPr>
        <w:t>1</w:t>
      </w:r>
      <w:r w:rsidR="00C4755C">
        <w:rPr>
          <w:rFonts w:eastAsia="Calibri" w:cs="Times New Roman"/>
          <w:szCs w:val="24"/>
          <w:u w:val="single"/>
          <w:lang w:eastAsia="en-US"/>
        </w:rPr>
        <w:t xml:space="preserve"> </w:t>
      </w:r>
      <w:r w:rsidRPr="00C4755C">
        <w:rPr>
          <w:rFonts w:eastAsia="Calibri" w:cs="Times New Roman"/>
          <w:szCs w:val="24"/>
          <w:u w:val="single"/>
          <w:lang w:eastAsia="en-US"/>
        </w:rPr>
        <w:t xml:space="preserve">ustawy o zmianie ustawy </w:t>
      </w:r>
      <w:proofErr w:type="spellStart"/>
      <w:r w:rsidRPr="00C4755C">
        <w:rPr>
          <w:rFonts w:eastAsia="Calibri" w:cs="Times New Roman"/>
          <w:szCs w:val="24"/>
          <w:u w:val="single"/>
          <w:lang w:eastAsia="en-US"/>
        </w:rPr>
        <w:t>Pzp</w:t>
      </w:r>
      <w:proofErr w:type="spellEnd"/>
      <w:r w:rsidRPr="00C4755C">
        <w:rPr>
          <w:rFonts w:eastAsia="Calibri" w:cs="Times New Roman"/>
          <w:szCs w:val="24"/>
          <w:u w:val="single"/>
          <w:lang w:eastAsia="en-US"/>
        </w:rPr>
        <w:t xml:space="preserve"> polegającą na zastąpieniu da</w:t>
      </w:r>
      <w:r w:rsidR="00CA6E79" w:rsidRPr="00C4755C">
        <w:rPr>
          <w:rFonts w:eastAsia="Calibri" w:cs="Times New Roman"/>
          <w:szCs w:val="24"/>
          <w:u w:val="single"/>
          <w:lang w:eastAsia="en-US"/>
        </w:rPr>
        <w:t>ty „1 stycznia 2020 r.” datą „1</w:t>
      </w:r>
      <w:r w:rsidR="00C4755C">
        <w:rPr>
          <w:rFonts w:eastAsia="Calibri" w:cs="Times New Roman"/>
          <w:szCs w:val="24"/>
          <w:u w:val="single"/>
          <w:lang w:eastAsia="en-US"/>
        </w:rPr>
        <w:t xml:space="preserve"> </w:t>
      </w:r>
      <w:r w:rsidRPr="00C4755C">
        <w:rPr>
          <w:rFonts w:eastAsia="Calibri" w:cs="Times New Roman"/>
          <w:szCs w:val="24"/>
          <w:u w:val="single"/>
          <w:lang w:eastAsia="en-US"/>
        </w:rPr>
        <w:t>stycznia 2021 r.”.</w:t>
      </w:r>
    </w:p>
    <w:p w14:paraId="69F51AF7" w14:textId="2B4CCFB7" w:rsidR="002B05A6" w:rsidRPr="00C4755C" w:rsidRDefault="002B05A6" w:rsidP="00C4755C">
      <w:pPr>
        <w:widowControl/>
        <w:autoSpaceDE/>
        <w:autoSpaceDN/>
        <w:adjustRightInd/>
        <w:spacing w:before="120"/>
        <w:jc w:val="both"/>
        <w:rPr>
          <w:rFonts w:eastAsia="Calibri" w:cs="Times New Roman"/>
          <w:szCs w:val="24"/>
          <w:u w:val="single"/>
          <w:lang w:eastAsia="en-US"/>
        </w:rPr>
      </w:pPr>
      <w:r w:rsidRPr="00C4755C">
        <w:rPr>
          <w:rFonts w:eastAsia="Calibri" w:cs="Times New Roman"/>
          <w:szCs w:val="24"/>
          <w:u w:val="single"/>
          <w:lang w:eastAsia="en-US"/>
        </w:rPr>
        <w:t>Analogiczna zmiana jest konieczna we wprowadzeniu do wyliczenia w art. 18a ustawy o</w:t>
      </w:r>
      <w:r w:rsidR="00C4755C">
        <w:rPr>
          <w:rFonts w:eastAsia="Calibri" w:cs="Times New Roman"/>
          <w:szCs w:val="24"/>
          <w:u w:val="single"/>
          <w:lang w:eastAsia="en-US"/>
        </w:rPr>
        <w:t xml:space="preserve"> </w:t>
      </w:r>
      <w:r w:rsidRPr="00C4755C">
        <w:rPr>
          <w:rFonts w:eastAsia="Calibri" w:cs="Times New Roman"/>
          <w:szCs w:val="24"/>
          <w:u w:val="single"/>
          <w:lang w:eastAsia="en-US"/>
        </w:rPr>
        <w:t xml:space="preserve">zmianie ustawy </w:t>
      </w:r>
      <w:proofErr w:type="spellStart"/>
      <w:r w:rsidRPr="00C4755C">
        <w:rPr>
          <w:rFonts w:eastAsia="Calibri" w:cs="Times New Roman"/>
          <w:szCs w:val="24"/>
          <w:u w:val="single"/>
          <w:lang w:eastAsia="en-US"/>
        </w:rPr>
        <w:t>Pzp</w:t>
      </w:r>
      <w:proofErr w:type="spellEnd"/>
      <w:r w:rsidRPr="00C4755C">
        <w:rPr>
          <w:rFonts w:eastAsia="Calibri" w:cs="Times New Roman"/>
          <w:szCs w:val="24"/>
          <w:u w:val="single"/>
          <w:lang w:eastAsia="en-US"/>
        </w:rPr>
        <w:t>.</w:t>
      </w:r>
    </w:p>
    <w:p w14:paraId="7B186D03" w14:textId="0E1CA615" w:rsidR="002B05A6" w:rsidRPr="00C4755C" w:rsidRDefault="002B05A6"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W myśl projektowanego wprowadzenia do wyliczenia przepisy epizodyczne zawarte w art. 18a ustawy o zmianie ustawy </w:t>
      </w:r>
      <w:proofErr w:type="spellStart"/>
      <w:r w:rsidRPr="00C4755C">
        <w:rPr>
          <w:rFonts w:eastAsia="Calibri" w:cs="Times New Roman"/>
          <w:szCs w:val="24"/>
          <w:lang w:eastAsia="en-US"/>
        </w:rPr>
        <w:t>Pzp</w:t>
      </w:r>
      <w:proofErr w:type="spellEnd"/>
      <w:r w:rsidRPr="00C4755C">
        <w:rPr>
          <w:rFonts w:eastAsia="Calibri" w:cs="Times New Roman"/>
          <w:szCs w:val="24"/>
          <w:lang w:eastAsia="en-US"/>
        </w:rPr>
        <w:t xml:space="preserve"> będą miały zastosowanie do postępowań poniżej progów unijnych, prowadzonych przez innych zamawiających niż centralny zamawiający, wszczętych od dnia 17 października 2018 r. (w związku z wejściem w życie z dniem 17 października 2018 r. ustawy z dnia 20 lipca 2018 r. zmieniającej ustawę </w:t>
      </w:r>
      <w:r w:rsidR="00C4755C">
        <w:rPr>
          <w:rFonts w:eastAsia="Calibri" w:cs="Times New Roman"/>
          <w:szCs w:val="24"/>
          <w:lang w:eastAsia="en-US"/>
        </w:rPr>
        <w:t>–</w:t>
      </w:r>
      <w:r w:rsidRPr="00C4755C">
        <w:rPr>
          <w:rFonts w:eastAsia="Calibri" w:cs="Times New Roman"/>
          <w:szCs w:val="24"/>
          <w:lang w:eastAsia="en-US"/>
        </w:rPr>
        <w:t xml:space="preserve"> Prawo zamówień publicznych oraz ustawę o zmianie ustawy – Prawo zamówień </w:t>
      </w:r>
      <w:r w:rsidRPr="00C4755C">
        <w:rPr>
          <w:rFonts w:eastAsia="Calibri" w:cs="Times New Roman"/>
          <w:szCs w:val="24"/>
          <w:lang w:eastAsia="en-US"/>
        </w:rPr>
        <w:lastRenderedPageBreak/>
        <w:t xml:space="preserve">publicznych oraz niektórych innych ustaw (Dz. U. z 2018 r. poz. 1603), która </w:t>
      </w:r>
      <w:r w:rsidR="005414FE" w:rsidRPr="00C4755C">
        <w:rPr>
          <w:rFonts w:eastAsia="Calibri" w:cs="Times New Roman"/>
          <w:szCs w:val="24"/>
          <w:lang w:eastAsia="en-US"/>
        </w:rPr>
        <w:t>wprowadziła przepis art. 18a) i</w:t>
      </w:r>
      <w:r w:rsidR="00C4755C">
        <w:rPr>
          <w:rFonts w:eastAsia="Calibri" w:cs="Times New Roman"/>
          <w:szCs w:val="24"/>
          <w:lang w:eastAsia="en-US"/>
        </w:rPr>
        <w:t xml:space="preserve"> </w:t>
      </w:r>
      <w:r w:rsidRPr="00C4755C">
        <w:rPr>
          <w:rFonts w:eastAsia="Calibri" w:cs="Times New Roman"/>
          <w:szCs w:val="24"/>
          <w:lang w:eastAsia="en-US"/>
        </w:rPr>
        <w:t>niezakończonych przed dniem 1 stycznia 2021 r. (czyli do 31 grudnia 2020 r.).</w:t>
      </w:r>
    </w:p>
    <w:p w14:paraId="731B12E2" w14:textId="77777777" w:rsidR="002B05A6" w:rsidRPr="00C4755C" w:rsidRDefault="002B05A6"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Proponowane rozwiązanie prawno-legislacyjne:</w:t>
      </w:r>
    </w:p>
    <w:p w14:paraId="70B05F9C" w14:textId="3C1283E9" w:rsidR="002B05A6" w:rsidRPr="00C4755C" w:rsidRDefault="002B05A6" w:rsidP="00931E30">
      <w:pPr>
        <w:widowControl/>
        <w:tabs>
          <w:tab w:val="left" w:pos="426"/>
        </w:tabs>
        <w:autoSpaceDE/>
        <w:autoSpaceDN/>
        <w:adjustRightInd/>
        <w:ind w:left="426" w:hanging="426"/>
        <w:jc w:val="both"/>
        <w:rPr>
          <w:rFonts w:eastAsia="Calibri" w:cs="Times New Roman"/>
          <w:szCs w:val="24"/>
          <w:lang w:eastAsia="en-US"/>
        </w:rPr>
      </w:pPr>
      <w:r w:rsidRPr="00C4755C">
        <w:rPr>
          <w:rFonts w:eastAsia="Calibri" w:cs="Times New Roman"/>
          <w:szCs w:val="24"/>
          <w:lang w:eastAsia="en-US"/>
        </w:rPr>
        <w:t>1)</w:t>
      </w:r>
      <w:r w:rsidRPr="00C4755C">
        <w:rPr>
          <w:rFonts w:eastAsia="Calibri" w:cs="Times New Roman"/>
          <w:szCs w:val="24"/>
          <w:lang w:eastAsia="en-US"/>
        </w:rPr>
        <w:tab/>
        <w:t>zwiększy szanse na lepsze przygotowanie si</w:t>
      </w:r>
      <w:r w:rsidR="005414FE" w:rsidRPr="00C4755C">
        <w:rPr>
          <w:rFonts w:eastAsia="Calibri" w:cs="Times New Roman"/>
          <w:szCs w:val="24"/>
          <w:lang w:eastAsia="en-US"/>
        </w:rPr>
        <w:t>ę wykonawców, w szczególności z</w:t>
      </w:r>
      <w:r w:rsidR="00C4755C">
        <w:rPr>
          <w:rFonts w:eastAsia="Calibri" w:cs="Times New Roman"/>
          <w:szCs w:val="24"/>
          <w:lang w:eastAsia="en-US"/>
        </w:rPr>
        <w:t xml:space="preserve"> </w:t>
      </w:r>
      <w:r w:rsidRPr="00C4755C">
        <w:rPr>
          <w:rFonts w:eastAsia="Calibri" w:cs="Times New Roman"/>
          <w:szCs w:val="24"/>
          <w:lang w:eastAsia="en-US"/>
        </w:rPr>
        <w:t>sektora MŚP, do elektronizacji zamówień, w tym dysponowania przez nich kwalifikowanym podpisem elektronicznym;</w:t>
      </w:r>
    </w:p>
    <w:p w14:paraId="3950D916" w14:textId="77777777" w:rsidR="002B05A6" w:rsidRPr="00C4755C" w:rsidRDefault="002B05A6" w:rsidP="00931E30">
      <w:pPr>
        <w:widowControl/>
        <w:tabs>
          <w:tab w:val="left" w:pos="426"/>
        </w:tabs>
        <w:autoSpaceDE/>
        <w:autoSpaceDN/>
        <w:adjustRightInd/>
        <w:ind w:left="426" w:hanging="426"/>
        <w:jc w:val="both"/>
        <w:rPr>
          <w:rFonts w:eastAsia="Calibri" w:cs="Times New Roman"/>
          <w:szCs w:val="24"/>
          <w:lang w:eastAsia="en-US"/>
        </w:rPr>
      </w:pPr>
      <w:r w:rsidRPr="00C4755C">
        <w:rPr>
          <w:rFonts w:eastAsia="Calibri" w:cs="Times New Roman"/>
          <w:szCs w:val="24"/>
          <w:lang w:eastAsia="en-US"/>
        </w:rPr>
        <w:t>2)</w:t>
      </w:r>
      <w:r w:rsidRPr="00C4755C">
        <w:rPr>
          <w:rFonts w:eastAsia="Calibri" w:cs="Times New Roman"/>
          <w:szCs w:val="24"/>
          <w:lang w:eastAsia="en-US"/>
        </w:rPr>
        <w:tab/>
        <w:t>zapewni lepsze szanse dla mniejszych zamawiających na przygotowanie się do wdrożenia elektronicznych narzędzi do obsługi postępowań o udzielenie zamówienia publicznego;</w:t>
      </w:r>
    </w:p>
    <w:p w14:paraId="6DA4ECBE" w14:textId="77777777" w:rsidR="002B05A6" w:rsidRPr="00C4755C" w:rsidRDefault="002B05A6" w:rsidP="00931E30">
      <w:pPr>
        <w:widowControl/>
        <w:tabs>
          <w:tab w:val="left" w:pos="426"/>
        </w:tabs>
        <w:autoSpaceDE/>
        <w:autoSpaceDN/>
        <w:adjustRightInd/>
        <w:ind w:left="426" w:hanging="426"/>
        <w:jc w:val="both"/>
        <w:rPr>
          <w:rFonts w:eastAsia="Calibri" w:cs="Times New Roman"/>
          <w:szCs w:val="24"/>
          <w:lang w:eastAsia="en-US"/>
        </w:rPr>
      </w:pPr>
      <w:r w:rsidRPr="00C4755C">
        <w:rPr>
          <w:rFonts w:eastAsia="Calibri" w:cs="Times New Roman"/>
          <w:szCs w:val="24"/>
          <w:lang w:eastAsia="en-US"/>
        </w:rPr>
        <w:t>3)</w:t>
      </w:r>
      <w:r w:rsidRPr="00C4755C">
        <w:rPr>
          <w:rFonts w:eastAsia="Calibri" w:cs="Times New Roman"/>
          <w:szCs w:val="24"/>
          <w:lang w:eastAsia="en-US"/>
        </w:rPr>
        <w:tab/>
        <w:t>zdywersyfikuje zagrożenia zmniejszenia ilości ofert składanych w postępowaniach oraz unieważnienia postępowań z powodu braku ważnych ofert, ze względu na brak kwalifikowanego podpisu elektronicznego po stronie mniejszych wykonawców.</w:t>
      </w:r>
    </w:p>
    <w:p w14:paraId="2BE66375" w14:textId="4E53EE19" w:rsidR="002B05A6" w:rsidRPr="00C4755C" w:rsidRDefault="002B05A6" w:rsidP="00C4755C">
      <w:pPr>
        <w:widowControl/>
        <w:suppressAutoHyphens/>
        <w:spacing w:before="120"/>
        <w:jc w:val="both"/>
        <w:rPr>
          <w:rFonts w:cs="Times New Roman"/>
          <w:szCs w:val="24"/>
        </w:rPr>
      </w:pPr>
      <w:r w:rsidRPr="00C4755C">
        <w:rPr>
          <w:rFonts w:cs="Times New Roman"/>
          <w:szCs w:val="24"/>
        </w:rPr>
        <w:t>Projektowane zmiany nie wprowadzają dodatkowych obciążeń finansowych po stronie zamawiających oraz wykonawców, a wręcz pozwalają na przesunięcie w czasie konieczności poniesienia takich kosztów oraz innych do</w:t>
      </w:r>
      <w:r w:rsidR="005414FE" w:rsidRPr="00C4755C">
        <w:rPr>
          <w:rFonts w:cs="Times New Roman"/>
          <w:szCs w:val="24"/>
        </w:rPr>
        <w:t>datkowych obciążeń związanych z</w:t>
      </w:r>
      <w:r w:rsidR="00C4755C">
        <w:rPr>
          <w:rFonts w:cs="Times New Roman"/>
          <w:szCs w:val="24"/>
        </w:rPr>
        <w:t xml:space="preserve"> </w:t>
      </w:r>
      <w:r w:rsidRPr="00C4755C">
        <w:rPr>
          <w:rFonts w:cs="Times New Roman"/>
          <w:szCs w:val="24"/>
        </w:rPr>
        <w:t xml:space="preserve">dostosowaniem do wymogów wynikających z elektronizacji zamówień publicznych. </w:t>
      </w:r>
    </w:p>
    <w:p w14:paraId="5928DBA5" w14:textId="3ED2F872" w:rsidR="00E91A41" w:rsidRPr="00C4755C" w:rsidRDefault="002B05A6" w:rsidP="00C4755C">
      <w:pPr>
        <w:spacing w:before="120"/>
        <w:jc w:val="both"/>
        <w:rPr>
          <w:rFonts w:cs="Times New Roman"/>
          <w:b/>
          <w:szCs w:val="24"/>
        </w:rPr>
      </w:pPr>
      <w:r w:rsidRPr="00C4755C">
        <w:rPr>
          <w:rFonts w:cs="Times New Roman"/>
          <w:b/>
          <w:szCs w:val="24"/>
        </w:rPr>
        <w:t xml:space="preserve">11. </w:t>
      </w:r>
      <w:r w:rsidR="00E91A41" w:rsidRPr="00C4755C">
        <w:rPr>
          <w:rFonts w:cs="Times New Roman"/>
          <w:b/>
          <w:szCs w:val="24"/>
        </w:rPr>
        <w:t>Zmiany w ustawie o Centralnej Ewidencji i Informacji o Działalności Gospodarczej i Punkcie Informacji dla Przedsiębiorcy (art. 1</w:t>
      </w:r>
      <w:r w:rsidR="00725E0E" w:rsidRPr="00C4755C">
        <w:rPr>
          <w:rFonts w:cs="Times New Roman"/>
          <w:b/>
          <w:szCs w:val="24"/>
        </w:rPr>
        <w:t>3</w:t>
      </w:r>
      <w:r w:rsidR="00E91A41" w:rsidRPr="00C4755C">
        <w:rPr>
          <w:rFonts w:cs="Times New Roman"/>
          <w:b/>
          <w:szCs w:val="24"/>
        </w:rPr>
        <w:t xml:space="preserve"> projektu)</w:t>
      </w:r>
    </w:p>
    <w:p w14:paraId="0F551270" w14:textId="51EDECFF" w:rsidR="007528B9" w:rsidRPr="00C4755C" w:rsidRDefault="007528B9" w:rsidP="00C4755C">
      <w:pPr>
        <w:spacing w:before="120"/>
        <w:jc w:val="both"/>
        <w:rPr>
          <w:rFonts w:cs="Times New Roman"/>
          <w:szCs w:val="24"/>
        </w:rPr>
      </w:pPr>
      <w:r w:rsidRPr="00C4755C">
        <w:rPr>
          <w:rFonts w:cs="Times New Roman"/>
          <w:szCs w:val="24"/>
        </w:rPr>
        <w:t xml:space="preserve">Od 1 stycznia 2019 r. nie ma już obowiązku odrębnego zawiadamiania o </w:t>
      </w:r>
      <w:r w:rsidR="00A634FD" w:rsidRPr="00C4755C">
        <w:rPr>
          <w:rFonts w:cs="Times New Roman"/>
          <w:szCs w:val="24"/>
        </w:rPr>
        <w:t>wyborze sposo</w:t>
      </w:r>
      <w:r w:rsidRPr="00C4755C">
        <w:rPr>
          <w:rFonts w:cs="Times New Roman"/>
          <w:szCs w:val="24"/>
        </w:rPr>
        <w:t xml:space="preserve">bu wpłacania zaliczek kwartalnych oraz o </w:t>
      </w:r>
      <w:r w:rsidR="00A634FD" w:rsidRPr="00C4755C">
        <w:rPr>
          <w:rFonts w:cs="Times New Roman"/>
          <w:szCs w:val="24"/>
        </w:rPr>
        <w:t>wyborze kwartalnego sposobu opłacania ryczałtu</w:t>
      </w:r>
      <w:r w:rsidRPr="00C4755C">
        <w:rPr>
          <w:rFonts w:cs="Times New Roman"/>
          <w:szCs w:val="24"/>
        </w:rPr>
        <w:t xml:space="preserve">. Po zmianie </w:t>
      </w:r>
      <w:r w:rsidR="00A634FD" w:rsidRPr="00C4755C">
        <w:rPr>
          <w:rFonts w:cs="Times New Roman"/>
          <w:szCs w:val="24"/>
        </w:rPr>
        <w:t>przedsiębiorcy</w:t>
      </w:r>
      <w:r w:rsidRPr="00C4755C">
        <w:rPr>
          <w:rFonts w:cs="Times New Roman"/>
          <w:szCs w:val="24"/>
        </w:rPr>
        <w:t xml:space="preserve"> </w:t>
      </w:r>
      <w:r w:rsidR="002F0198" w:rsidRPr="00C4755C">
        <w:rPr>
          <w:rFonts w:cs="Times New Roman"/>
          <w:szCs w:val="24"/>
        </w:rPr>
        <w:t>–</w:t>
      </w:r>
      <w:r w:rsidRPr="00C4755C">
        <w:rPr>
          <w:rFonts w:cs="Times New Roman"/>
          <w:szCs w:val="24"/>
        </w:rPr>
        <w:t xml:space="preserve"> </w:t>
      </w:r>
      <w:r w:rsidR="00A634FD" w:rsidRPr="00C4755C">
        <w:rPr>
          <w:rFonts w:cs="Times New Roman"/>
          <w:szCs w:val="24"/>
        </w:rPr>
        <w:t xml:space="preserve">podatnicy </w:t>
      </w:r>
      <w:r w:rsidR="003A64A7" w:rsidRPr="00C4755C">
        <w:rPr>
          <w:rFonts w:cs="Times New Roman"/>
          <w:szCs w:val="24"/>
        </w:rPr>
        <w:t>informują</w:t>
      </w:r>
      <w:r w:rsidR="00A634FD" w:rsidRPr="00C4755C">
        <w:rPr>
          <w:rFonts w:cs="Times New Roman"/>
          <w:szCs w:val="24"/>
        </w:rPr>
        <w:t xml:space="preserve"> o tym w zeznaniu rocznym, składanym za rok podatkowy, w którym stosowali ten sposób wpłacania zaliczek</w:t>
      </w:r>
      <w:r w:rsidRPr="00C4755C">
        <w:rPr>
          <w:rFonts w:cs="Times New Roman"/>
          <w:szCs w:val="24"/>
        </w:rPr>
        <w:t xml:space="preserve"> lub </w:t>
      </w:r>
      <w:r w:rsidR="00A634FD" w:rsidRPr="00C4755C">
        <w:rPr>
          <w:rFonts w:cs="Times New Roman"/>
          <w:szCs w:val="24"/>
        </w:rPr>
        <w:t>sposób opłacania ryczałtu</w:t>
      </w:r>
      <w:r w:rsidRPr="00C4755C">
        <w:rPr>
          <w:rFonts w:cs="Times New Roman"/>
          <w:szCs w:val="24"/>
        </w:rPr>
        <w:t>. W konsekwencji, zniesiony został również obowiązek zawiadamiania o rezygnacji z wybranego sposobu wpłacania zaliczek na podatek doch</w:t>
      </w:r>
      <w:r w:rsidR="005414FE" w:rsidRPr="00C4755C">
        <w:rPr>
          <w:rFonts w:cs="Times New Roman"/>
          <w:szCs w:val="24"/>
        </w:rPr>
        <w:t>odowy od osób fizycznych oraz o</w:t>
      </w:r>
      <w:r w:rsidR="00C4755C">
        <w:rPr>
          <w:rFonts w:cs="Times New Roman"/>
          <w:szCs w:val="24"/>
        </w:rPr>
        <w:t xml:space="preserve"> </w:t>
      </w:r>
      <w:r w:rsidRPr="00C4755C">
        <w:rPr>
          <w:rFonts w:cs="Times New Roman"/>
          <w:szCs w:val="24"/>
        </w:rPr>
        <w:t>zaprzestaniu opłacania ryczałtu od przychodów ewidencjonowanych co kwartał.</w:t>
      </w:r>
    </w:p>
    <w:p w14:paraId="4DB1197F" w14:textId="0D5F963A" w:rsidR="00ED0C82" w:rsidRPr="00C4755C" w:rsidRDefault="007528B9" w:rsidP="00C4755C">
      <w:pPr>
        <w:spacing w:before="120"/>
        <w:jc w:val="both"/>
        <w:rPr>
          <w:rFonts w:cs="Times New Roman"/>
          <w:szCs w:val="24"/>
        </w:rPr>
      </w:pPr>
      <w:r w:rsidRPr="00C4755C">
        <w:rPr>
          <w:rFonts w:cs="Times New Roman"/>
          <w:szCs w:val="24"/>
        </w:rPr>
        <w:t>Jednocześnie w ustawie o CEIDG (art. 6 ust. 4 pkt 4</w:t>
      </w:r>
      <w:r w:rsidR="00C4755C">
        <w:rPr>
          <w:rFonts w:cs="Times New Roman"/>
          <w:szCs w:val="24"/>
        </w:rPr>
        <w:t>–</w:t>
      </w:r>
      <w:r w:rsidRPr="00C4755C">
        <w:rPr>
          <w:rFonts w:cs="Times New Roman"/>
          <w:szCs w:val="24"/>
        </w:rPr>
        <w:t xml:space="preserve">5) pozostał przepis umożliwiający złożenie wraz z wnioskiem CEIDG </w:t>
      </w:r>
      <w:r w:rsidR="00A634FD" w:rsidRPr="00C4755C">
        <w:rPr>
          <w:rFonts w:cs="Times New Roman"/>
          <w:szCs w:val="24"/>
        </w:rPr>
        <w:t>żądani</w:t>
      </w:r>
      <w:r w:rsidRPr="00C4755C">
        <w:rPr>
          <w:rFonts w:cs="Times New Roman"/>
          <w:szCs w:val="24"/>
        </w:rPr>
        <w:t>a</w:t>
      </w:r>
      <w:r w:rsidR="00A634FD" w:rsidRPr="00C4755C">
        <w:rPr>
          <w:rFonts w:cs="Times New Roman"/>
          <w:szCs w:val="24"/>
        </w:rPr>
        <w:t xml:space="preserve"> przyjęcia zawiadomienia o wyborze sposobu wpłacania zaliczek na podatek dochodowy od osób </w:t>
      </w:r>
      <w:r w:rsidR="005414FE" w:rsidRPr="00C4755C">
        <w:rPr>
          <w:rFonts w:cs="Times New Roman"/>
          <w:szCs w:val="24"/>
        </w:rPr>
        <w:t>fizycznych albo zawiadomienia o</w:t>
      </w:r>
      <w:r w:rsidR="00C4755C">
        <w:rPr>
          <w:rFonts w:cs="Times New Roman"/>
          <w:szCs w:val="24"/>
        </w:rPr>
        <w:t xml:space="preserve"> </w:t>
      </w:r>
      <w:r w:rsidR="00A634FD" w:rsidRPr="00C4755C">
        <w:rPr>
          <w:rFonts w:cs="Times New Roman"/>
          <w:szCs w:val="24"/>
        </w:rPr>
        <w:t>rezygnacji z wybranego sposobu wpłacania zaliczek na podate</w:t>
      </w:r>
      <w:r w:rsidRPr="00C4755C">
        <w:rPr>
          <w:rFonts w:cs="Times New Roman"/>
          <w:szCs w:val="24"/>
        </w:rPr>
        <w:t>k dochodowy od osób fizycznych oraz ż</w:t>
      </w:r>
      <w:r w:rsidR="00A634FD" w:rsidRPr="00C4755C">
        <w:rPr>
          <w:rFonts w:cs="Times New Roman"/>
          <w:szCs w:val="24"/>
        </w:rPr>
        <w:t>ądani</w:t>
      </w:r>
      <w:r w:rsidRPr="00C4755C">
        <w:rPr>
          <w:rFonts w:cs="Times New Roman"/>
          <w:szCs w:val="24"/>
        </w:rPr>
        <w:t>a</w:t>
      </w:r>
      <w:r w:rsidR="00A634FD" w:rsidRPr="00C4755C">
        <w:rPr>
          <w:rFonts w:cs="Times New Roman"/>
          <w:szCs w:val="24"/>
        </w:rPr>
        <w:t xml:space="preserve"> przyjęcia zawiadomienia o wyborze opłacania ryczałtu od </w:t>
      </w:r>
      <w:r w:rsidR="00A634FD" w:rsidRPr="00C4755C">
        <w:rPr>
          <w:rFonts w:cs="Times New Roman"/>
          <w:szCs w:val="24"/>
        </w:rPr>
        <w:lastRenderedPageBreak/>
        <w:t>przychodów ewidencjonowanych co kwartał albo zawiadomienia o zaprzestaniu opłacania ryczałtu od przychodów ewidencjonowanych co kwartał.</w:t>
      </w:r>
    </w:p>
    <w:p w14:paraId="1E2BE991" w14:textId="1DAED730" w:rsidR="007528B9" w:rsidRPr="00C4755C" w:rsidRDefault="00D45B22" w:rsidP="00C4755C">
      <w:pPr>
        <w:spacing w:before="120"/>
        <w:jc w:val="both"/>
        <w:rPr>
          <w:rFonts w:cs="Times New Roman"/>
          <w:szCs w:val="24"/>
        </w:rPr>
      </w:pPr>
      <w:r w:rsidRPr="00C4755C">
        <w:rPr>
          <w:rFonts w:cs="Times New Roman"/>
          <w:szCs w:val="24"/>
        </w:rPr>
        <w:t>Usunięcie</w:t>
      </w:r>
      <w:r w:rsidR="007528B9" w:rsidRPr="00C4755C">
        <w:rPr>
          <w:rFonts w:cs="Times New Roman"/>
          <w:szCs w:val="24"/>
        </w:rPr>
        <w:t xml:space="preserve"> z ustawy o CEIDG ww. przepisów pozwoli wyeliminować </w:t>
      </w:r>
      <w:r w:rsidR="00530857" w:rsidRPr="00C4755C">
        <w:rPr>
          <w:rFonts w:cs="Times New Roman"/>
          <w:szCs w:val="24"/>
        </w:rPr>
        <w:t xml:space="preserve">opisaną wyżej niespójność pomiędzy ustawami podatkowymi a ustawą o CEIDG, a co za tym idzie ryzyko ewentualnych </w:t>
      </w:r>
      <w:r w:rsidR="007528B9" w:rsidRPr="00C4755C">
        <w:rPr>
          <w:rFonts w:cs="Times New Roman"/>
          <w:szCs w:val="24"/>
        </w:rPr>
        <w:t>wątpliwości po stronie przedsiębiorców</w:t>
      </w:r>
      <w:r w:rsidR="00B546DB">
        <w:rPr>
          <w:rFonts w:cs="Times New Roman"/>
          <w:szCs w:val="24"/>
        </w:rPr>
        <w:t>,</w:t>
      </w:r>
      <w:r w:rsidR="007528B9" w:rsidRPr="00C4755C">
        <w:rPr>
          <w:rFonts w:cs="Times New Roman"/>
          <w:szCs w:val="24"/>
        </w:rPr>
        <w:t xml:space="preserve"> jak i urzędów, co do prawidłowej formy złożonej informacji o wybranej formie zapłaty zaliczek na podatek. Zmiana doprowadzi także do ograniczenia liczby rubryk we wniosku CEIDG, który stanie się prostszy i bardziej zrozumiały dla przedsiębiorcy oraz będzie spójny z przepisami podatkowymi.</w:t>
      </w:r>
    </w:p>
    <w:p w14:paraId="3C7F7551" w14:textId="715056F2" w:rsidR="00544525" w:rsidRPr="00C4755C" w:rsidRDefault="007528B9" w:rsidP="00C4755C">
      <w:pPr>
        <w:spacing w:before="120"/>
        <w:jc w:val="both"/>
        <w:rPr>
          <w:rFonts w:cs="Times New Roman"/>
          <w:szCs w:val="24"/>
        </w:rPr>
      </w:pPr>
      <w:r w:rsidRPr="00C4755C">
        <w:rPr>
          <w:rFonts w:cs="Times New Roman"/>
          <w:szCs w:val="24"/>
        </w:rPr>
        <w:t xml:space="preserve">Zmiana w ust. 8 jest konsekwencją wprowadzenia zmian w ust. 4 i ma </w:t>
      </w:r>
      <w:r w:rsidR="00B546DB">
        <w:rPr>
          <w:rFonts w:cs="Times New Roman"/>
          <w:szCs w:val="24"/>
        </w:rPr>
        <w:t xml:space="preserve">na </w:t>
      </w:r>
      <w:r w:rsidRPr="00C4755C">
        <w:rPr>
          <w:rFonts w:cs="Times New Roman"/>
          <w:szCs w:val="24"/>
        </w:rPr>
        <w:t xml:space="preserve">celu wskazanie, że tylko dla </w:t>
      </w:r>
      <w:r w:rsidR="00A634FD" w:rsidRPr="00C4755C">
        <w:rPr>
          <w:rFonts w:cs="Times New Roman"/>
          <w:szCs w:val="24"/>
        </w:rPr>
        <w:t>żądania przyjęcia oświadczenia o wyborze przez przedsiębiorcę formy opodatkowania podatkiem dochodowym od osób fizycznych albo wniosku o zastosowanie opodatkowania w formie karty podatkowej</w:t>
      </w:r>
      <w:r w:rsidR="00B546DB">
        <w:rPr>
          <w:rFonts w:cs="Times New Roman"/>
          <w:szCs w:val="24"/>
        </w:rPr>
        <w:t>,</w:t>
      </w:r>
      <w:r w:rsidR="00A634FD" w:rsidRPr="00C4755C">
        <w:rPr>
          <w:rFonts w:cs="Times New Roman"/>
          <w:szCs w:val="24"/>
        </w:rPr>
        <w:t xml:space="preserve"> albo rezygnacji</w:t>
      </w:r>
      <w:r w:rsidRPr="00C4755C">
        <w:rPr>
          <w:rFonts w:cs="Times New Roman"/>
          <w:szCs w:val="24"/>
        </w:rPr>
        <w:t xml:space="preserve"> z wybranej formy opodatkowania oraz </w:t>
      </w:r>
      <w:r w:rsidR="00A634FD" w:rsidRPr="00C4755C">
        <w:rPr>
          <w:rFonts w:cs="Times New Roman"/>
          <w:szCs w:val="24"/>
        </w:rPr>
        <w:t>żądani</w:t>
      </w:r>
      <w:r w:rsidRPr="00C4755C">
        <w:rPr>
          <w:rFonts w:cs="Times New Roman"/>
          <w:szCs w:val="24"/>
        </w:rPr>
        <w:t>a</w:t>
      </w:r>
      <w:r w:rsidR="00A634FD" w:rsidRPr="00C4755C">
        <w:rPr>
          <w:rFonts w:cs="Times New Roman"/>
          <w:szCs w:val="24"/>
        </w:rPr>
        <w:t xml:space="preserve"> przyjęcia zawiadomienia o zamiarze</w:t>
      </w:r>
      <w:r w:rsidRPr="00C4755C">
        <w:rPr>
          <w:rFonts w:cs="Times New Roman"/>
          <w:szCs w:val="24"/>
        </w:rPr>
        <w:t xml:space="preserve"> prowadzenia ksiąg rachunkowych zastosowanie mają terminy okreś</w:t>
      </w:r>
      <w:r w:rsidR="005414FE" w:rsidRPr="00C4755C">
        <w:rPr>
          <w:rFonts w:cs="Times New Roman"/>
          <w:szCs w:val="24"/>
        </w:rPr>
        <w:t>lone w ustawie o PIT, ustawie o</w:t>
      </w:r>
      <w:r w:rsidR="00C4755C">
        <w:rPr>
          <w:rFonts w:cs="Times New Roman"/>
          <w:szCs w:val="24"/>
        </w:rPr>
        <w:t xml:space="preserve"> </w:t>
      </w:r>
      <w:r w:rsidRPr="00C4755C">
        <w:rPr>
          <w:rFonts w:cs="Times New Roman"/>
          <w:szCs w:val="24"/>
        </w:rPr>
        <w:t>zryczałtowanym podatku dochodowym od niektórych przychodów osiąganych przez osoby fizyczne oraz w ustawie o rachunkowości.</w:t>
      </w:r>
    </w:p>
    <w:p w14:paraId="0C716B9E" w14:textId="3E91F532" w:rsidR="00FA47BA" w:rsidRPr="00C4755C" w:rsidRDefault="00FA47BA" w:rsidP="00BD2222">
      <w:pPr>
        <w:numPr>
          <w:ilvl w:val="0"/>
          <w:numId w:val="2"/>
        </w:numPr>
        <w:spacing w:before="240"/>
        <w:ind w:left="573" w:hanging="420"/>
        <w:jc w:val="both"/>
        <w:rPr>
          <w:rFonts w:cs="Times New Roman"/>
          <w:b/>
          <w:szCs w:val="24"/>
        </w:rPr>
      </w:pPr>
      <w:r w:rsidRPr="00C4755C">
        <w:rPr>
          <w:rFonts w:cs="Times New Roman"/>
          <w:b/>
          <w:szCs w:val="24"/>
        </w:rPr>
        <w:t xml:space="preserve">Przepisy przejściowe i </w:t>
      </w:r>
      <w:r w:rsidR="00544525" w:rsidRPr="00C4755C">
        <w:rPr>
          <w:rFonts w:cs="Times New Roman"/>
          <w:b/>
          <w:szCs w:val="24"/>
        </w:rPr>
        <w:t>końcowe</w:t>
      </w:r>
      <w:r w:rsidR="00FB4911" w:rsidRPr="00C4755C">
        <w:rPr>
          <w:rFonts w:cs="Times New Roman"/>
          <w:b/>
          <w:szCs w:val="24"/>
        </w:rPr>
        <w:t xml:space="preserve"> (art. </w:t>
      </w:r>
      <w:r w:rsidR="000E34ED" w:rsidRPr="00C4755C">
        <w:rPr>
          <w:rFonts w:cs="Times New Roman"/>
          <w:b/>
          <w:szCs w:val="24"/>
        </w:rPr>
        <w:t xml:space="preserve">14 </w:t>
      </w:r>
      <w:r w:rsidR="00C4755C">
        <w:rPr>
          <w:rFonts w:cs="Times New Roman"/>
          <w:b/>
          <w:szCs w:val="24"/>
        </w:rPr>
        <w:t>–</w:t>
      </w:r>
      <w:r w:rsidR="009408CC" w:rsidRPr="00C4755C">
        <w:rPr>
          <w:rFonts w:cs="Times New Roman"/>
          <w:b/>
          <w:szCs w:val="24"/>
        </w:rPr>
        <w:t xml:space="preserve"> </w:t>
      </w:r>
      <w:r w:rsidR="00DC091C" w:rsidRPr="00C4755C">
        <w:rPr>
          <w:rFonts w:cs="Times New Roman"/>
          <w:b/>
          <w:szCs w:val="24"/>
        </w:rPr>
        <w:t xml:space="preserve">art. </w:t>
      </w:r>
      <w:r w:rsidR="000E34ED" w:rsidRPr="00C4755C">
        <w:rPr>
          <w:rFonts w:cs="Times New Roman"/>
          <w:b/>
          <w:szCs w:val="24"/>
        </w:rPr>
        <w:t xml:space="preserve">22 </w:t>
      </w:r>
      <w:r w:rsidR="00FB4911" w:rsidRPr="00C4755C">
        <w:rPr>
          <w:rFonts w:cs="Times New Roman"/>
          <w:b/>
          <w:szCs w:val="24"/>
        </w:rPr>
        <w:t>projektu)</w:t>
      </w:r>
    </w:p>
    <w:p w14:paraId="763A462A" w14:textId="3707C49D" w:rsidR="00592C27" w:rsidRPr="00C4755C" w:rsidRDefault="00592C27" w:rsidP="00C4755C">
      <w:pPr>
        <w:widowControl/>
        <w:autoSpaceDE/>
        <w:autoSpaceDN/>
        <w:adjustRightInd/>
        <w:spacing w:before="120"/>
        <w:jc w:val="both"/>
        <w:rPr>
          <w:rFonts w:cs="Times New Roman"/>
          <w:bCs/>
          <w:szCs w:val="24"/>
        </w:rPr>
      </w:pPr>
      <w:r w:rsidRPr="00C4755C">
        <w:rPr>
          <w:rFonts w:cs="Times New Roman"/>
          <w:szCs w:val="24"/>
        </w:rPr>
        <w:t xml:space="preserve">Zgodnie z projektowanym art. </w:t>
      </w:r>
      <w:r w:rsidR="000E34ED" w:rsidRPr="00C4755C">
        <w:rPr>
          <w:rFonts w:cs="Times New Roman"/>
          <w:szCs w:val="24"/>
        </w:rPr>
        <w:t xml:space="preserve">22 </w:t>
      </w:r>
      <w:r w:rsidRPr="00C4755C">
        <w:rPr>
          <w:rFonts w:cs="Times New Roman"/>
          <w:szCs w:val="24"/>
        </w:rPr>
        <w:t>przedłożon</w:t>
      </w:r>
      <w:r w:rsidR="000F566F" w:rsidRPr="00C4755C">
        <w:rPr>
          <w:rFonts w:cs="Times New Roman"/>
          <w:szCs w:val="24"/>
        </w:rPr>
        <w:t>y projekt ustawy powinien</w:t>
      </w:r>
      <w:r w:rsidRPr="00C4755C">
        <w:rPr>
          <w:rFonts w:cs="Times New Roman"/>
          <w:szCs w:val="24"/>
        </w:rPr>
        <w:t xml:space="preserve"> wejść w </w:t>
      </w:r>
      <w:r w:rsidR="00202E45" w:rsidRPr="00C4755C">
        <w:rPr>
          <w:rFonts w:cs="Times New Roman"/>
          <w:szCs w:val="24"/>
        </w:rPr>
        <w:t>życie</w:t>
      </w:r>
      <w:r w:rsidR="009B2356" w:rsidRPr="00C4755C">
        <w:rPr>
          <w:rFonts w:cs="Times New Roman"/>
          <w:szCs w:val="24"/>
        </w:rPr>
        <w:t xml:space="preserve"> w</w:t>
      </w:r>
      <w:r w:rsidR="00C4755C">
        <w:rPr>
          <w:rFonts w:cs="Times New Roman"/>
          <w:szCs w:val="24"/>
        </w:rPr>
        <w:t xml:space="preserve"> </w:t>
      </w:r>
      <w:r w:rsidR="009B6A55" w:rsidRPr="00C4755C">
        <w:rPr>
          <w:rFonts w:cs="Times New Roman"/>
          <w:szCs w:val="24"/>
        </w:rPr>
        <w:t>dniu</w:t>
      </w:r>
      <w:r w:rsidRPr="00C4755C">
        <w:rPr>
          <w:rFonts w:cs="Times New Roman"/>
          <w:szCs w:val="24"/>
        </w:rPr>
        <w:t xml:space="preserve"> </w:t>
      </w:r>
      <w:r w:rsidR="00BC74E7" w:rsidRPr="00C4755C">
        <w:rPr>
          <w:rFonts w:cs="Times New Roman"/>
          <w:szCs w:val="24"/>
        </w:rPr>
        <w:t>1</w:t>
      </w:r>
      <w:r w:rsidR="00584C51" w:rsidRPr="00C4755C">
        <w:rPr>
          <w:rFonts w:cs="Times New Roman"/>
          <w:szCs w:val="24"/>
        </w:rPr>
        <w:t xml:space="preserve"> </w:t>
      </w:r>
      <w:r w:rsidR="00A77E6A" w:rsidRPr="00C4755C">
        <w:rPr>
          <w:rFonts w:cs="Times New Roman"/>
          <w:szCs w:val="24"/>
        </w:rPr>
        <w:t>stycznia 2020 r.</w:t>
      </w:r>
      <w:r w:rsidR="002B05A6" w:rsidRPr="00C4755C">
        <w:rPr>
          <w:rFonts w:cs="Times New Roman"/>
          <w:szCs w:val="24"/>
        </w:rPr>
        <w:t xml:space="preserve">, z wyjątkiem zmian w ustawie </w:t>
      </w:r>
      <w:r w:rsidR="00105C7C" w:rsidRPr="00C4755C">
        <w:rPr>
          <w:rFonts w:cs="Times New Roman"/>
          <w:szCs w:val="24"/>
        </w:rPr>
        <w:t xml:space="preserve">o zmianie ustawy </w:t>
      </w:r>
      <w:proofErr w:type="spellStart"/>
      <w:r w:rsidR="00105C7C" w:rsidRPr="00C4755C">
        <w:rPr>
          <w:rFonts w:cs="Times New Roman"/>
          <w:szCs w:val="24"/>
        </w:rPr>
        <w:t>Pzp</w:t>
      </w:r>
      <w:proofErr w:type="spellEnd"/>
      <w:r w:rsidR="002B05A6" w:rsidRPr="00C4755C">
        <w:rPr>
          <w:rFonts w:cs="Times New Roman"/>
          <w:szCs w:val="24"/>
        </w:rPr>
        <w:t>, które wejdą w życie 31 grudnia 2019 r.</w:t>
      </w:r>
      <w:r w:rsidR="00B77369" w:rsidRPr="00C4755C">
        <w:rPr>
          <w:rFonts w:cs="Times New Roman"/>
          <w:szCs w:val="24"/>
        </w:rPr>
        <w:t xml:space="preserve"> Termin wejścia w życie zmian w ustawie </w:t>
      </w:r>
      <w:r w:rsidR="00105C7C" w:rsidRPr="00C4755C">
        <w:rPr>
          <w:rFonts w:cs="Times New Roman"/>
          <w:szCs w:val="24"/>
        </w:rPr>
        <w:t xml:space="preserve">o zmianie ustawy </w:t>
      </w:r>
      <w:proofErr w:type="spellStart"/>
      <w:r w:rsidR="00105C7C" w:rsidRPr="00C4755C">
        <w:rPr>
          <w:rFonts w:cs="Times New Roman"/>
          <w:szCs w:val="24"/>
        </w:rPr>
        <w:t>Pzp</w:t>
      </w:r>
      <w:proofErr w:type="spellEnd"/>
      <w:r w:rsidR="00105C7C" w:rsidRPr="00C4755C">
        <w:rPr>
          <w:rFonts w:cs="Times New Roman"/>
          <w:szCs w:val="24"/>
        </w:rPr>
        <w:t xml:space="preserve"> </w:t>
      </w:r>
      <w:r w:rsidR="00B77369" w:rsidRPr="00C4755C">
        <w:rPr>
          <w:rFonts w:cs="Times New Roman"/>
          <w:szCs w:val="24"/>
        </w:rPr>
        <w:t>jest uzasadniony tym</w:t>
      </w:r>
      <w:r w:rsidR="00B77369" w:rsidRPr="00C4755C">
        <w:rPr>
          <w:rFonts w:cs="Times New Roman"/>
          <w:bCs/>
          <w:szCs w:val="24"/>
        </w:rPr>
        <w:t>, że zmiana</w:t>
      </w:r>
      <w:r w:rsidR="005414FE" w:rsidRPr="00C4755C">
        <w:rPr>
          <w:rFonts w:cs="Times New Roman"/>
          <w:bCs/>
          <w:szCs w:val="24"/>
        </w:rPr>
        <w:t xml:space="preserve"> przepisów intertemporalnych, w</w:t>
      </w:r>
      <w:r w:rsidR="00C4755C">
        <w:rPr>
          <w:rFonts w:cs="Times New Roman"/>
          <w:bCs/>
          <w:szCs w:val="24"/>
        </w:rPr>
        <w:t xml:space="preserve"> </w:t>
      </w:r>
      <w:r w:rsidR="00B77369" w:rsidRPr="00C4755C">
        <w:rPr>
          <w:rFonts w:cs="Times New Roman"/>
          <w:bCs/>
          <w:szCs w:val="24"/>
        </w:rPr>
        <w:t>tym przepisów epizodycznych, możliwa jest w okresie, w którym one jeszcze obowiązuj</w:t>
      </w:r>
      <w:r w:rsidR="005414FE" w:rsidRPr="00C4755C">
        <w:rPr>
          <w:rFonts w:cs="Times New Roman"/>
          <w:bCs/>
          <w:szCs w:val="24"/>
        </w:rPr>
        <w:t>ą i</w:t>
      </w:r>
      <w:r w:rsidR="00C4755C">
        <w:rPr>
          <w:rFonts w:cs="Times New Roman"/>
          <w:bCs/>
          <w:szCs w:val="24"/>
        </w:rPr>
        <w:t xml:space="preserve"> </w:t>
      </w:r>
      <w:r w:rsidR="00B77369" w:rsidRPr="00C4755C">
        <w:rPr>
          <w:rFonts w:cs="Times New Roman"/>
          <w:bCs/>
          <w:szCs w:val="24"/>
        </w:rPr>
        <w:t>nie zostały one skonsumowane</w:t>
      </w:r>
      <w:r w:rsidR="00B1689B" w:rsidRPr="00C4755C">
        <w:rPr>
          <w:rFonts w:cs="Times New Roman"/>
          <w:bCs/>
          <w:szCs w:val="24"/>
        </w:rPr>
        <w:t xml:space="preserve">. </w:t>
      </w:r>
      <w:r w:rsidR="00B77369" w:rsidRPr="00C4755C">
        <w:rPr>
          <w:rFonts w:eastAsia="Calibri" w:cs="Times New Roman"/>
          <w:szCs w:val="24"/>
          <w:lang w:eastAsia="en-US"/>
        </w:rPr>
        <w:t xml:space="preserve">Termin wejścia w życie zmiany determinowany jest również procedowanym obecnie projektem ustawy – Prawo zamówień publicznych, który kompleksowo reguluje materię zamówień publicznych. Wejście w życie tej ustawy zostało zaplanowane na dzień 1 stycznia 2021 r. Nowelizacja natomiast ustawy </w:t>
      </w:r>
      <w:r w:rsidR="00AE0971" w:rsidRPr="00C4755C">
        <w:rPr>
          <w:rFonts w:eastAsia="Calibri" w:cs="Times New Roman"/>
          <w:szCs w:val="24"/>
          <w:lang w:eastAsia="en-US"/>
        </w:rPr>
        <w:t xml:space="preserve">o zmianie ustawy </w:t>
      </w:r>
      <w:proofErr w:type="spellStart"/>
      <w:r w:rsidR="00B77369" w:rsidRPr="00C4755C">
        <w:rPr>
          <w:rFonts w:eastAsia="Calibri" w:cs="Times New Roman"/>
          <w:szCs w:val="24"/>
          <w:lang w:eastAsia="en-US"/>
        </w:rPr>
        <w:t>Pzp</w:t>
      </w:r>
      <w:proofErr w:type="spellEnd"/>
      <w:r w:rsidR="00B77369" w:rsidRPr="00C4755C">
        <w:rPr>
          <w:rFonts w:eastAsia="Calibri" w:cs="Times New Roman"/>
          <w:szCs w:val="24"/>
          <w:lang w:eastAsia="en-US"/>
        </w:rPr>
        <w:t xml:space="preserve"> jest możliwa w okresie </w:t>
      </w:r>
      <w:r w:rsidR="00B77369" w:rsidRPr="00C4755C">
        <w:rPr>
          <w:rFonts w:eastAsia="Calibri" w:cs="Times New Roman"/>
          <w:i/>
          <w:szCs w:val="24"/>
          <w:lang w:eastAsia="en-US"/>
        </w:rPr>
        <w:t xml:space="preserve">vacatio legis </w:t>
      </w:r>
      <w:r w:rsidR="00B77369" w:rsidRPr="00C4755C">
        <w:rPr>
          <w:rFonts w:eastAsia="Calibri" w:cs="Times New Roman"/>
          <w:szCs w:val="24"/>
          <w:lang w:eastAsia="en-US"/>
        </w:rPr>
        <w:t xml:space="preserve">ww. nowej ustawy </w:t>
      </w:r>
      <w:proofErr w:type="spellStart"/>
      <w:r w:rsidR="00B77369" w:rsidRPr="00C4755C">
        <w:rPr>
          <w:rFonts w:eastAsia="Calibri" w:cs="Times New Roman"/>
          <w:szCs w:val="24"/>
          <w:lang w:eastAsia="en-US"/>
        </w:rPr>
        <w:t>Pzp</w:t>
      </w:r>
      <w:proofErr w:type="spellEnd"/>
      <w:r w:rsidR="00B77369" w:rsidRPr="00C4755C">
        <w:rPr>
          <w:rFonts w:eastAsia="Calibri" w:cs="Times New Roman"/>
          <w:szCs w:val="24"/>
          <w:lang w:eastAsia="en-US"/>
        </w:rPr>
        <w:t>, a więc najpóźniej z dniem 31 grudnia 2020 r.</w:t>
      </w:r>
    </w:p>
    <w:p w14:paraId="34A2BB2F" w14:textId="41FD63CC" w:rsidR="005126EB" w:rsidRPr="00C4755C" w:rsidRDefault="00202E4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Projektowane przepisy </w:t>
      </w:r>
      <w:r w:rsidR="00D03723" w:rsidRPr="00C4755C">
        <w:rPr>
          <w:rFonts w:ascii="Times New Roman" w:hAnsi="Times New Roman" w:cs="Times New Roman"/>
          <w:szCs w:val="24"/>
        </w:rPr>
        <w:t xml:space="preserve">będą miały </w:t>
      </w:r>
      <w:r w:rsidRPr="00C4755C">
        <w:rPr>
          <w:rFonts w:ascii="Times New Roman" w:hAnsi="Times New Roman" w:cs="Times New Roman"/>
          <w:szCs w:val="24"/>
        </w:rPr>
        <w:t xml:space="preserve">zastosowanie do transakcji handlowych zawartych </w:t>
      </w:r>
      <w:r w:rsidR="00DC7E4A" w:rsidRPr="00C4755C">
        <w:rPr>
          <w:rFonts w:ascii="Times New Roman" w:hAnsi="Times New Roman" w:cs="Times New Roman"/>
          <w:szCs w:val="24"/>
        </w:rPr>
        <w:t>po</w:t>
      </w:r>
      <w:r w:rsidRPr="00C4755C">
        <w:rPr>
          <w:rFonts w:ascii="Times New Roman" w:hAnsi="Times New Roman" w:cs="Times New Roman"/>
          <w:szCs w:val="24"/>
        </w:rPr>
        <w:t xml:space="preserve"> wejści</w:t>
      </w:r>
      <w:r w:rsidR="00DC7E4A" w:rsidRPr="00C4755C">
        <w:rPr>
          <w:rFonts w:ascii="Times New Roman" w:hAnsi="Times New Roman" w:cs="Times New Roman"/>
          <w:szCs w:val="24"/>
        </w:rPr>
        <w:t>u</w:t>
      </w:r>
      <w:r w:rsidRPr="00C4755C">
        <w:rPr>
          <w:rFonts w:ascii="Times New Roman" w:hAnsi="Times New Roman" w:cs="Times New Roman"/>
          <w:szCs w:val="24"/>
        </w:rPr>
        <w:t xml:space="preserve"> w życie ustawy (art. </w:t>
      </w:r>
      <w:r w:rsidR="003D62A2" w:rsidRPr="00C4755C">
        <w:rPr>
          <w:rFonts w:ascii="Times New Roman" w:hAnsi="Times New Roman" w:cs="Times New Roman"/>
          <w:szCs w:val="24"/>
        </w:rPr>
        <w:t>20</w:t>
      </w:r>
      <w:r w:rsidR="00965ABA" w:rsidRPr="00C4755C">
        <w:rPr>
          <w:rFonts w:ascii="Times New Roman" w:hAnsi="Times New Roman" w:cs="Times New Roman"/>
          <w:szCs w:val="24"/>
        </w:rPr>
        <w:t xml:space="preserve"> </w:t>
      </w:r>
      <w:r w:rsidR="000C61F4" w:rsidRPr="00C4755C">
        <w:rPr>
          <w:rFonts w:ascii="Times New Roman" w:hAnsi="Times New Roman" w:cs="Times New Roman"/>
          <w:szCs w:val="24"/>
        </w:rPr>
        <w:t>projektu).</w:t>
      </w:r>
    </w:p>
    <w:p w14:paraId="61E78BBF" w14:textId="4C4EFD43" w:rsidR="00202E45" w:rsidRPr="00C4755C" w:rsidRDefault="005B1D50"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R</w:t>
      </w:r>
      <w:r w:rsidR="00485640" w:rsidRPr="00C4755C">
        <w:rPr>
          <w:rFonts w:ascii="Times New Roman" w:hAnsi="Times New Roman" w:cs="Times New Roman"/>
          <w:szCs w:val="24"/>
        </w:rPr>
        <w:t>ozwiązania</w:t>
      </w:r>
      <w:r w:rsidRPr="00C4755C">
        <w:rPr>
          <w:rFonts w:ascii="Times New Roman" w:hAnsi="Times New Roman" w:cs="Times New Roman"/>
          <w:szCs w:val="24"/>
        </w:rPr>
        <w:t xml:space="preserve"> te</w:t>
      </w:r>
      <w:r w:rsidR="00485640" w:rsidRPr="00C4755C">
        <w:rPr>
          <w:rFonts w:ascii="Times New Roman" w:hAnsi="Times New Roman" w:cs="Times New Roman"/>
          <w:szCs w:val="24"/>
        </w:rPr>
        <w:t xml:space="preserve"> są na tyle istotną zmianą stanu prawnego, że zawierając tra</w:t>
      </w:r>
      <w:r w:rsidR="00C043EE" w:rsidRPr="00C4755C">
        <w:rPr>
          <w:rFonts w:ascii="Times New Roman" w:hAnsi="Times New Roman" w:cs="Times New Roman"/>
          <w:szCs w:val="24"/>
        </w:rPr>
        <w:t>nsakcję strony powinny działać</w:t>
      </w:r>
      <w:r w:rsidR="00722E62" w:rsidRPr="00C4755C">
        <w:rPr>
          <w:rFonts w:ascii="Times New Roman" w:hAnsi="Times New Roman" w:cs="Times New Roman"/>
          <w:szCs w:val="24"/>
        </w:rPr>
        <w:t>,</w:t>
      </w:r>
      <w:r w:rsidR="00C043EE" w:rsidRPr="00C4755C">
        <w:rPr>
          <w:rFonts w:ascii="Times New Roman" w:hAnsi="Times New Roman" w:cs="Times New Roman"/>
          <w:szCs w:val="24"/>
        </w:rPr>
        <w:t xml:space="preserve"> mając świadomość</w:t>
      </w:r>
      <w:r w:rsidR="00485640" w:rsidRPr="00C4755C">
        <w:rPr>
          <w:rFonts w:ascii="Times New Roman" w:hAnsi="Times New Roman" w:cs="Times New Roman"/>
          <w:szCs w:val="24"/>
        </w:rPr>
        <w:t xml:space="preserve"> ich obowiązywania. Nie jest zatem możliwe i celowe objęcie tymi przepisami już </w:t>
      </w:r>
      <w:r w:rsidR="00C72B40" w:rsidRPr="00C4755C">
        <w:rPr>
          <w:rFonts w:ascii="Times New Roman" w:hAnsi="Times New Roman" w:cs="Times New Roman"/>
          <w:szCs w:val="24"/>
        </w:rPr>
        <w:t>nawiązanych</w:t>
      </w:r>
      <w:r w:rsidR="00485640" w:rsidRPr="00C4755C">
        <w:rPr>
          <w:rFonts w:ascii="Times New Roman" w:hAnsi="Times New Roman" w:cs="Times New Roman"/>
          <w:szCs w:val="24"/>
        </w:rPr>
        <w:t xml:space="preserve"> transakcji handlowych</w:t>
      </w:r>
      <w:r w:rsidR="00722E62" w:rsidRPr="00C4755C">
        <w:rPr>
          <w:rFonts w:ascii="Times New Roman" w:hAnsi="Times New Roman" w:cs="Times New Roman"/>
          <w:szCs w:val="24"/>
        </w:rPr>
        <w:t>, z wyjątkiem rozwiązań przewidzianych w ustawach o podatkach dochodowych.</w:t>
      </w:r>
    </w:p>
    <w:p w14:paraId="54BC3469" w14:textId="0DA7C37A" w:rsidR="00722E62" w:rsidRPr="00C4755C" w:rsidRDefault="00722E6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Zmiany w podatkach dochodowych (ustawa o PIT, CIT i ustawie o zryczałtowanym podatku dochodowym od niektórych przychodów osiąganych przez osoby fizyczne) znajdą bowiem zastosowanie do transakcji handlowych, w których termin zapłaty upłynie po dniu 31</w:t>
      </w:r>
      <w:r w:rsidR="00C4755C">
        <w:rPr>
          <w:rFonts w:ascii="Times New Roman" w:hAnsi="Times New Roman" w:cs="Times New Roman"/>
          <w:szCs w:val="24"/>
        </w:rPr>
        <w:t xml:space="preserve"> </w:t>
      </w:r>
      <w:r w:rsidRPr="00C4755C">
        <w:rPr>
          <w:rFonts w:ascii="Times New Roman" w:hAnsi="Times New Roman" w:cs="Times New Roman"/>
          <w:szCs w:val="24"/>
        </w:rPr>
        <w:t xml:space="preserve">grudnia 2019 r. (art. 16 i </w:t>
      </w:r>
      <w:r w:rsidR="00B546DB">
        <w:rPr>
          <w:rFonts w:ascii="Times New Roman" w:hAnsi="Times New Roman" w:cs="Times New Roman"/>
          <w:szCs w:val="24"/>
        </w:rPr>
        <w:t xml:space="preserve">art. </w:t>
      </w:r>
      <w:r w:rsidRPr="00C4755C">
        <w:rPr>
          <w:rFonts w:ascii="Times New Roman" w:hAnsi="Times New Roman" w:cs="Times New Roman"/>
          <w:szCs w:val="24"/>
        </w:rPr>
        <w:t>17 ust. 1 projektu).</w:t>
      </w:r>
    </w:p>
    <w:p w14:paraId="53337F87" w14:textId="00785975" w:rsidR="00722E62" w:rsidRPr="00C4755C" w:rsidRDefault="00722E6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przypadku podatników, których rok podatkowy jest inny niż rok kalendarzowy, i</w:t>
      </w:r>
      <w:r w:rsidR="00C4755C">
        <w:rPr>
          <w:rFonts w:ascii="Times New Roman" w:hAnsi="Times New Roman" w:cs="Times New Roman"/>
          <w:szCs w:val="24"/>
        </w:rPr>
        <w:t xml:space="preserve"> </w:t>
      </w:r>
      <w:r w:rsidRPr="00C4755C">
        <w:rPr>
          <w:rFonts w:ascii="Times New Roman" w:hAnsi="Times New Roman" w:cs="Times New Roman"/>
          <w:szCs w:val="24"/>
        </w:rPr>
        <w:t>rozpocznie się przed dniem 1 stycznia 2020 r., zmiany w zakresie ustawy o CIT będą miały zastosowanie do przychodów (osiągniętych dochodów, poniesionych strat) począwszy od roku podatkowego rozpoczynającego się po dniu 31 grudnia 2019 r., trwającego nie krócej niż 12 miesięcy, w odniesieniu do transakcji handlowych, w</w:t>
      </w:r>
      <w:r w:rsidR="00C4755C">
        <w:rPr>
          <w:rFonts w:ascii="Times New Roman" w:hAnsi="Times New Roman" w:cs="Times New Roman"/>
          <w:szCs w:val="24"/>
        </w:rPr>
        <w:t xml:space="preserve"> </w:t>
      </w:r>
      <w:r w:rsidRPr="00C4755C">
        <w:rPr>
          <w:rFonts w:ascii="Times New Roman" w:hAnsi="Times New Roman" w:cs="Times New Roman"/>
          <w:szCs w:val="24"/>
        </w:rPr>
        <w:t>przypadku których termin do uregulowania zobowiązania upływa po dniu 31 grudnia 2019 r. (art. 17 ust. 2 projektu).</w:t>
      </w:r>
    </w:p>
    <w:p w14:paraId="3D4F40FB" w14:textId="02E09E7D" w:rsidR="00FD630A" w:rsidRPr="00C4755C" w:rsidRDefault="00FD630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W przypadku postępowania prowadzonego przez Prezesa UOKiK nadmierne opóźnianie się ze spełnianiem świadczeń pieniężnych będzie mogło być</w:t>
      </w:r>
      <w:r w:rsidR="00CA6E79" w:rsidRPr="00C4755C">
        <w:rPr>
          <w:rFonts w:ascii="Times New Roman" w:hAnsi="Times New Roman" w:cs="Times New Roman"/>
          <w:szCs w:val="24"/>
        </w:rPr>
        <w:t xml:space="preserve"> stwierdzone także w</w:t>
      </w:r>
      <w:r w:rsidR="00C4755C">
        <w:rPr>
          <w:rFonts w:ascii="Times New Roman" w:hAnsi="Times New Roman" w:cs="Times New Roman"/>
          <w:szCs w:val="24"/>
        </w:rPr>
        <w:t xml:space="preserve"> </w:t>
      </w:r>
      <w:r w:rsidR="001571F2" w:rsidRPr="00C4755C">
        <w:rPr>
          <w:rFonts w:ascii="Times New Roman" w:hAnsi="Times New Roman" w:cs="Times New Roman"/>
          <w:szCs w:val="24"/>
        </w:rPr>
        <w:t xml:space="preserve">przypadku </w:t>
      </w:r>
      <w:r w:rsidRPr="00C4755C">
        <w:rPr>
          <w:rFonts w:ascii="Times New Roman" w:hAnsi="Times New Roman" w:cs="Times New Roman"/>
          <w:szCs w:val="24"/>
        </w:rPr>
        <w:t xml:space="preserve">świadczeń pieniężnych wynikających z transakcji handlowych zawartych przed dniem wejścia w życie ustawy, z uwzględnieniem jedynie świadczeń pieniężnych, które stały się wymagalne po tym dniu (art. </w:t>
      </w:r>
      <w:r w:rsidR="003D62A2" w:rsidRPr="00C4755C">
        <w:rPr>
          <w:rFonts w:ascii="Times New Roman" w:hAnsi="Times New Roman" w:cs="Times New Roman"/>
          <w:szCs w:val="24"/>
        </w:rPr>
        <w:t>20</w:t>
      </w:r>
      <w:r w:rsidRPr="00C4755C">
        <w:rPr>
          <w:rFonts w:ascii="Times New Roman" w:hAnsi="Times New Roman" w:cs="Times New Roman"/>
          <w:szCs w:val="24"/>
        </w:rPr>
        <w:t xml:space="preserve"> ust. 2 projektu).</w:t>
      </w:r>
    </w:p>
    <w:p w14:paraId="41AD5111" w14:textId="0A3B7A1C" w:rsidR="00FD630A" w:rsidRPr="00C4755C" w:rsidRDefault="00FD630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Do ustalenia wysokości odsetek ustawowych za opóźnienie w transakcjach handlowych, wymagalnych po dniu wejścia w życie ustawy oraz do </w:t>
      </w:r>
      <w:r w:rsidR="001571F2" w:rsidRPr="00C4755C">
        <w:rPr>
          <w:rFonts w:ascii="Times New Roman" w:hAnsi="Times New Roman" w:cs="Times New Roman"/>
          <w:szCs w:val="24"/>
        </w:rPr>
        <w:t>rekompensaty, która</w:t>
      </w:r>
      <w:r w:rsidRPr="00C4755C">
        <w:rPr>
          <w:rFonts w:ascii="Times New Roman" w:hAnsi="Times New Roman" w:cs="Times New Roman"/>
          <w:szCs w:val="24"/>
        </w:rPr>
        <w:t xml:space="preserve"> po tym dniu stała się wymagalna</w:t>
      </w:r>
      <w:r w:rsidR="007F6F03" w:rsidRPr="00C4755C">
        <w:rPr>
          <w:rFonts w:ascii="Times New Roman" w:hAnsi="Times New Roman" w:cs="Times New Roman"/>
          <w:szCs w:val="24"/>
        </w:rPr>
        <w:t>,</w:t>
      </w:r>
      <w:r w:rsidRPr="00C4755C">
        <w:rPr>
          <w:rFonts w:ascii="Times New Roman" w:hAnsi="Times New Roman" w:cs="Times New Roman"/>
          <w:szCs w:val="24"/>
        </w:rPr>
        <w:t xml:space="preserve"> zastosowanie będą miały przepisy w brzmieniu nadanym niniejszą ustawą (art. </w:t>
      </w:r>
      <w:r w:rsidR="003D62A2" w:rsidRPr="00C4755C">
        <w:rPr>
          <w:rFonts w:ascii="Times New Roman" w:hAnsi="Times New Roman" w:cs="Times New Roman"/>
          <w:szCs w:val="24"/>
        </w:rPr>
        <w:t>20</w:t>
      </w:r>
      <w:r w:rsidRPr="00C4755C">
        <w:rPr>
          <w:rFonts w:ascii="Times New Roman" w:hAnsi="Times New Roman" w:cs="Times New Roman"/>
          <w:szCs w:val="24"/>
        </w:rPr>
        <w:t xml:space="preserve"> ust. 3 i 4 projektu).</w:t>
      </w:r>
    </w:p>
    <w:p w14:paraId="359077F9" w14:textId="002674B7" w:rsidR="00FD630A" w:rsidRPr="00C4755C" w:rsidRDefault="00FD630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W myśl przepisu art. </w:t>
      </w:r>
      <w:r w:rsidR="003D62A2" w:rsidRPr="00C4755C">
        <w:rPr>
          <w:rFonts w:ascii="Times New Roman" w:hAnsi="Times New Roman" w:cs="Times New Roman"/>
          <w:szCs w:val="24"/>
        </w:rPr>
        <w:t>20</w:t>
      </w:r>
      <w:r w:rsidRPr="00C4755C">
        <w:rPr>
          <w:rFonts w:ascii="Times New Roman" w:hAnsi="Times New Roman" w:cs="Times New Roman"/>
          <w:szCs w:val="24"/>
        </w:rPr>
        <w:t xml:space="preserve"> ust. </w:t>
      </w:r>
      <w:r w:rsidR="000E34ED" w:rsidRPr="00C4755C">
        <w:rPr>
          <w:rFonts w:ascii="Times New Roman" w:hAnsi="Times New Roman" w:cs="Times New Roman"/>
          <w:szCs w:val="24"/>
        </w:rPr>
        <w:t xml:space="preserve">5 </w:t>
      </w:r>
      <w:r w:rsidRPr="00C4755C">
        <w:rPr>
          <w:rFonts w:ascii="Times New Roman" w:hAnsi="Times New Roman" w:cs="Times New Roman"/>
          <w:szCs w:val="24"/>
        </w:rPr>
        <w:t>przedłożonego projektu, pierwsze sprawozdanie o</w:t>
      </w:r>
      <w:r w:rsidR="00C4755C">
        <w:rPr>
          <w:rFonts w:ascii="Times New Roman" w:hAnsi="Times New Roman" w:cs="Times New Roman"/>
          <w:szCs w:val="24"/>
        </w:rPr>
        <w:t xml:space="preserve"> </w:t>
      </w:r>
      <w:r w:rsidRPr="00C4755C">
        <w:rPr>
          <w:rFonts w:ascii="Times New Roman" w:hAnsi="Times New Roman" w:cs="Times New Roman"/>
          <w:szCs w:val="24"/>
        </w:rPr>
        <w:t>stosowanych terminach zapłaty powinno zostać sporządzone za rok 2020 do 31 stycznia 2021 r.</w:t>
      </w:r>
    </w:p>
    <w:p w14:paraId="703EDABB" w14:textId="77777777" w:rsidR="00C84542" w:rsidRPr="00C4755C" w:rsidRDefault="00A67ADE"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Zgodnie z projektowanym art. 1</w:t>
      </w:r>
      <w:r w:rsidR="00B77369" w:rsidRPr="00C4755C">
        <w:rPr>
          <w:rFonts w:ascii="Times New Roman" w:hAnsi="Times New Roman" w:cs="Times New Roman"/>
          <w:szCs w:val="24"/>
        </w:rPr>
        <w:t>5</w:t>
      </w:r>
      <w:r w:rsidRPr="00C4755C">
        <w:rPr>
          <w:rFonts w:ascii="Times New Roman" w:hAnsi="Times New Roman" w:cs="Times New Roman"/>
          <w:szCs w:val="24"/>
        </w:rPr>
        <w:t xml:space="preserve"> w przypadku postępowań zabezpieczających, które zostały wszczęte przed dniem wejścia w życie zmienionych przepisów, w których przed tym dniem nie wydano postanowienia w przedmiocie zabezpieczenia, zastosowanie będą miały przepisy w brzmieniu dotychczasowym.</w:t>
      </w:r>
      <w:r w:rsidR="00B77369" w:rsidRPr="00C4755C">
        <w:rPr>
          <w:rFonts w:ascii="Times New Roman" w:hAnsi="Times New Roman" w:cs="Times New Roman"/>
          <w:szCs w:val="24"/>
        </w:rPr>
        <w:t xml:space="preserve"> </w:t>
      </w:r>
    </w:p>
    <w:p w14:paraId="0B219FEA" w14:textId="32B15484" w:rsidR="00544525" w:rsidRPr="00C4755C" w:rsidRDefault="0054452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lastRenderedPageBreak/>
        <w:t xml:space="preserve">W art. </w:t>
      </w:r>
      <w:r w:rsidR="000E34ED" w:rsidRPr="00C4755C">
        <w:rPr>
          <w:rFonts w:ascii="Times New Roman" w:hAnsi="Times New Roman" w:cs="Times New Roman"/>
          <w:szCs w:val="24"/>
        </w:rPr>
        <w:t xml:space="preserve">21 </w:t>
      </w:r>
      <w:r w:rsidRPr="00C4755C">
        <w:rPr>
          <w:rFonts w:ascii="Times New Roman" w:hAnsi="Times New Roman" w:cs="Times New Roman"/>
          <w:szCs w:val="24"/>
        </w:rPr>
        <w:t>projektu, zgodnie z art. 50 ust. 1a ustawy o finansach publicznych</w:t>
      </w:r>
      <w:r w:rsidR="00FA6660" w:rsidRPr="00C4755C">
        <w:rPr>
          <w:rFonts w:ascii="Times New Roman" w:hAnsi="Times New Roman" w:cs="Times New Roman"/>
          <w:szCs w:val="24"/>
        </w:rPr>
        <w:t>,</w:t>
      </w:r>
      <w:r w:rsidRPr="00C4755C">
        <w:rPr>
          <w:rFonts w:ascii="Times New Roman" w:hAnsi="Times New Roman" w:cs="Times New Roman"/>
          <w:szCs w:val="24"/>
        </w:rPr>
        <w:t xml:space="preserve"> określono maksymalny limit wydatków wyrażony kwotowo, na okres 10 lat budżetowych wykonywania </w:t>
      </w:r>
      <w:bookmarkStart w:id="4" w:name="highlightHit_167"/>
      <w:bookmarkEnd w:id="4"/>
      <w:r w:rsidRPr="00C4755C">
        <w:rPr>
          <w:rStyle w:val="highlight"/>
          <w:rFonts w:ascii="Times New Roman" w:hAnsi="Times New Roman" w:cs="Times New Roman"/>
          <w:szCs w:val="24"/>
        </w:rPr>
        <w:t>ustawy</w:t>
      </w:r>
      <w:r w:rsidRPr="00C4755C">
        <w:rPr>
          <w:rFonts w:ascii="Times New Roman" w:hAnsi="Times New Roman" w:cs="Times New Roman"/>
          <w:szCs w:val="24"/>
        </w:rPr>
        <w:t>, oddzielnie dla każdego roku.</w:t>
      </w:r>
      <w:r w:rsidR="00170DEB" w:rsidRPr="00C4755C">
        <w:rPr>
          <w:rFonts w:ascii="Times New Roman" w:hAnsi="Times New Roman" w:cs="Times New Roman"/>
          <w:szCs w:val="24"/>
        </w:rPr>
        <w:t xml:space="preserve"> </w:t>
      </w:r>
      <w:bookmarkStart w:id="5" w:name="highlightHit_168"/>
      <w:bookmarkEnd w:id="5"/>
      <w:r w:rsidRPr="00C4755C">
        <w:rPr>
          <w:rFonts w:ascii="Times New Roman" w:hAnsi="Times New Roman" w:cs="Times New Roman"/>
          <w:szCs w:val="24"/>
        </w:rPr>
        <w:t xml:space="preserve">Szczegółowy opis planowanych wydatków związanych z wejściem w </w:t>
      </w:r>
      <w:r w:rsidR="001571F2" w:rsidRPr="00C4755C">
        <w:rPr>
          <w:rFonts w:ascii="Times New Roman" w:hAnsi="Times New Roman" w:cs="Times New Roman"/>
          <w:szCs w:val="24"/>
        </w:rPr>
        <w:t>życie</w:t>
      </w:r>
      <w:r w:rsidR="00C4020E" w:rsidRPr="00C4755C">
        <w:rPr>
          <w:rFonts w:ascii="Times New Roman" w:hAnsi="Times New Roman" w:cs="Times New Roman"/>
          <w:szCs w:val="24"/>
        </w:rPr>
        <w:t xml:space="preserve"> ustawy znajduje się w OSR.</w:t>
      </w:r>
    </w:p>
    <w:p w14:paraId="2ADA00D6" w14:textId="240C8C43" w:rsidR="00913B15" w:rsidRPr="00C4755C" w:rsidRDefault="00913B15" w:rsidP="00931E30">
      <w:pPr>
        <w:numPr>
          <w:ilvl w:val="0"/>
          <w:numId w:val="2"/>
        </w:numPr>
        <w:spacing w:before="240"/>
        <w:ind w:left="505" w:hanging="363"/>
        <w:jc w:val="both"/>
        <w:rPr>
          <w:rFonts w:cs="Times New Roman"/>
          <w:b/>
          <w:szCs w:val="24"/>
        </w:rPr>
      </w:pPr>
      <w:r w:rsidRPr="00C4755C">
        <w:rPr>
          <w:rFonts w:cs="Times New Roman"/>
          <w:b/>
          <w:szCs w:val="24"/>
        </w:rPr>
        <w:t>Wpływ na działalność mikroprzedsiębiorców oraz małych i średnich przedsiębiorców</w:t>
      </w:r>
    </w:p>
    <w:p w14:paraId="363DF075" w14:textId="106DA702" w:rsidR="008946A4" w:rsidRPr="00C4755C" w:rsidRDefault="00004FD2"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Projektowane przepisy wpłyną pozytywnie na działalność mikroprzedsiębiorstw oraz małych i średnich przedsiębiorstw. Wzmocnienie reżimu ustalania terminów zapłaty</w:t>
      </w:r>
      <w:r w:rsidR="00B546DB">
        <w:rPr>
          <w:rFonts w:ascii="Times New Roman" w:hAnsi="Times New Roman" w:cs="Times New Roman"/>
          <w:szCs w:val="24"/>
        </w:rPr>
        <w:t xml:space="preserve"> </w:t>
      </w:r>
      <w:r w:rsidRPr="00C4755C">
        <w:rPr>
          <w:rFonts w:ascii="Times New Roman" w:hAnsi="Times New Roman" w:cs="Times New Roman"/>
          <w:szCs w:val="24"/>
        </w:rPr>
        <w:t xml:space="preserve">powinno wydatnie skrócić terminy zapłaty i tym samym zwiększyć płynność </w:t>
      </w:r>
      <w:r w:rsidR="000C61F4" w:rsidRPr="00C4755C">
        <w:rPr>
          <w:rFonts w:ascii="Times New Roman" w:hAnsi="Times New Roman" w:cs="Times New Roman"/>
          <w:szCs w:val="24"/>
        </w:rPr>
        <w:t>finansową tych przedsiębiorców.</w:t>
      </w:r>
      <w:r w:rsidR="002B05A6" w:rsidRPr="00C4755C">
        <w:rPr>
          <w:rFonts w:ascii="Times New Roman" w:hAnsi="Times New Roman" w:cs="Times New Roman"/>
          <w:szCs w:val="24"/>
        </w:rPr>
        <w:t xml:space="preserve"> Projektowane zmiany w zakresie ustawy </w:t>
      </w:r>
      <w:r w:rsidR="00F02D4E" w:rsidRPr="00C4755C">
        <w:rPr>
          <w:rFonts w:ascii="Times New Roman" w:hAnsi="Times New Roman" w:cs="Times New Roman"/>
          <w:szCs w:val="24"/>
        </w:rPr>
        <w:t xml:space="preserve">o zmianie ustawy </w:t>
      </w:r>
      <w:proofErr w:type="spellStart"/>
      <w:r w:rsidR="00F02D4E" w:rsidRPr="00C4755C">
        <w:rPr>
          <w:rFonts w:ascii="Times New Roman" w:hAnsi="Times New Roman" w:cs="Times New Roman"/>
          <w:szCs w:val="24"/>
        </w:rPr>
        <w:t>Pzp</w:t>
      </w:r>
      <w:proofErr w:type="spellEnd"/>
      <w:r w:rsidR="002B05A6" w:rsidRPr="00C4755C">
        <w:rPr>
          <w:rFonts w:ascii="Times New Roman" w:hAnsi="Times New Roman" w:cs="Times New Roman"/>
          <w:szCs w:val="24"/>
        </w:rPr>
        <w:t xml:space="preserve"> </w:t>
      </w:r>
      <w:r w:rsidR="002B05A6" w:rsidRPr="00C4755C">
        <w:rPr>
          <w:rFonts w:ascii="Times New Roman" w:eastAsia="Calibri" w:hAnsi="Times New Roman" w:cs="Times New Roman"/>
          <w:szCs w:val="24"/>
          <w:lang w:eastAsia="en-US"/>
        </w:rPr>
        <w:t>zwiększą szanse na lepsze przygotowanie się wykonawców, w szczególności mikroprzedsiębiorców, małych i</w:t>
      </w:r>
      <w:r w:rsidR="00AE2D67" w:rsidRPr="00C4755C">
        <w:rPr>
          <w:rFonts w:ascii="Times New Roman" w:eastAsia="Calibri" w:hAnsi="Times New Roman" w:cs="Times New Roman"/>
          <w:szCs w:val="24"/>
          <w:lang w:eastAsia="en-US"/>
        </w:rPr>
        <w:t xml:space="preserve"> </w:t>
      </w:r>
      <w:r w:rsidR="002B05A6" w:rsidRPr="00C4755C">
        <w:rPr>
          <w:rFonts w:ascii="Times New Roman" w:eastAsia="Calibri" w:hAnsi="Times New Roman" w:cs="Times New Roman"/>
          <w:szCs w:val="24"/>
          <w:lang w:eastAsia="en-US"/>
        </w:rPr>
        <w:t>średnich przedsiębiorców, do elektronizacji zamówień poniżej progów unijnych, w</w:t>
      </w:r>
      <w:r w:rsidR="00C4755C">
        <w:rPr>
          <w:rFonts w:ascii="Times New Roman" w:eastAsia="Calibri" w:hAnsi="Times New Roman" w:cs="Times New Roman"/>
          <w:szCs w:val="24"/>
          <w:lang w:eastAsia="en-US"/>
        </w:rPr>
        <w:t xml:space="preserve"> </w:t>
      </w:r>
      <w:r w:rsidR="002B05A6" w:rsidRPr="00C4755C">
        <w:rPr>
          <w:rFonts w:ascii="Times New Roman" w:eastAsia="Calibri" w:hAnsi="Times New Roman" w:cs="Times New Roman"/>
          <w:szCs w:val="24"/>
          <w:lang w:eastAsia="en-US"/>
        </w:rPr>
        <w:t>tym do dysponowania przez nich kwalifikowanym podpisem elektronicznym.</w:t>
      </w:r>
    </w:p>
    <w:p w14:paraId="2A96A4CC" w14:textId="2DE2D164" w:rsidR="00F527B5" w:rsidRPr="00C4755C" w:rsidRDefault="00057D56" w:rsidP="00BD2222">
      <w:pPr>
        <w:keepNext/>
        <w:widowControl/>
        <w:numPr>
          <w:ilvl w:val="0"/>
          <w:numId w:val="2"/>
        </w:numPr>
        <w:spacing w:before="240"/>
        <w:ind w:left="504" w:hanging="391"/>
        <w:jc w:val="both"/>
        <w:rPr>
          <w:rFonts w:eastAsiaTheme="minorHAnsi" w:cs="Times New Roman"/>
          <w:b/>
          <w:bCs/>
          <w:color w:val="000000"/>
          <w:szCs w:val="24"/>
        </w:rPr>
      </w:pPr>
      <w:r w:rsidRPr="00C4755C">
        <w:rPr>
          <w:rFonts w:eastAsiaTheme="minorHAnsi" w:cs="Times New Roman"/>
          <w:b/>
          <w:bCs/>
          <w:color w:val="000000"/>
          <w:szCs w:val="24"/>
        </w:rPr>
        <w:t>Analiza</w:t>
      </w:r>
      <w:r w:rsidR="00F527B5" w:rsidRPr="00C4755C">
        <w:rPr>
          <w:rFonts w:eastAsiaTheme="minorHAnsi" w:cs="Times New Roman"/>
          <w:b/>
          <w:bCs/>
          <w:color w:val="000000"/>
          <w:szCs w:val="24"/>
        </w:rPr>
        <w:t xml:space="preserve"> </w:t>
      </w:r>
      <w:r w:rsidRPr="00C4755C">
        <w:rPr>
          <w:rFonts w:eastAsiaTheme="minorHAnsi" w:cs="Times New Roman"/>
          <w:b/>
          <w:bCs/>
          <w:color w:val="000000"/>
          <w:szCs w:val="24"/>
        </w:rPr>
        <w:t>zgodności</w:t>
      </w:r>
      <w:r w:rsidR="00F527B5" w:rsidRPr="00C4755C">
        <w:rPr>
          <w:rFonts w:eastAsiaTheme="minorHAnsi" w:cs="Times New Roman"/>
          <w:b/>
          <w:bCs/>
          <w:color w:val="000000"/>
          <w:szCs w:val="24"/>
        </w:rPr>
        <w:t xml:space="preserve"> </w:t>
      </w:r>
      <w:r w:rsidRPr="00C4755C">
        <w:rPr>
          <w:rFonts w:eastAsiaTheme="minorHAnsi" w:cs="Times New Roman"/>
          <w:b/>
          <w:bCs/>
          <w:color w:val="000000"/>
          <w:szCs w:val="24"/>
        </w:rPr>
        <w:t>projektowanych</w:t>
      </w:r>
      <w:r w:rsidR="00F527B5" w:rsidRPr="00C4755C">
        <w:rPr>
          <w:rFonts w:eastAsiaTheme="minorHAnsi" w:cs="Times New Roman"/>
          <w:b/>
          <w:bCs/>
          <w:color w:val="000000"/>
          <w:szCs w:val="24"/>
        </w:rPr>
        <w:t xml:space="preserve"> </w:t>
      </w:r>
      <w:r w:rsidRPr="00C4755C">
        <w:rPr>
          <w:rFonts w:eastAsiaTheme="minorHAnsi" w:cs="Times New Roman"/>
          <w:b/>
          <w:bCs/>
          <w:color w:val="000000"/>
          <w:szCs w:val="24"/>
        </w:rPr>
        <w:t>regulacji</w:t>
      </w:r>
      <w:r w:rsidR="00F527B5" w:rsidRPr="00C4755C">
        <w:rPr>
          <w:rFonts w:eastAsiaTheme="minorHAnsi" w:cs="Times New Roman"/>
          <w:b/>
          <w:bCs/>
          <w:color w:val="000000"/>
          <w:szCs w:val="24"/>
        </w:rPr>
        <w:t xml:space="preserve"> </w:t>
      </w:r>
      <w:r w:rsidRPr="00C4755C">
        <w:rPr>
          <w:rFonts w:eastAsiaTheme="minorHAnsi" w:cs="Times New Roman"/>
          <w:b/>
          <w:bCs/>
          <w:color w:val="000000"/>
          <w:szCs w:val="24"/>
        </w:rPr>
        <w:t>z</w:t>
      </w:r>
      <w:r w:rsidR="00F527B5" w:rsidRPr="00C4755C">
        <w:rPr>
          <w:rFonts w:eastAsiaTheme="minorHAnsi" w:cs="Times New Roman"/>
          <w:b/>
          <w:bCs/>
          <w:color w:val="000000"/>
          <w:szCs w:val="24"/>
        </w:rPr>
        <w:t xml:space="preserve"> </w:t>
      </w:r>
      <w:r w:rsidRPr="00C4755C">
        <w:rPr>
          <w:rFonts w:eastAsiaTheme="minorHAnsi" w:cs="Times New Roman"/>
          <w:b/>
          <w:bCs/>
          <w:color w:val="000000"/>
          <w:szCs w:val="24"/>
        </w:rPr>
        <w:t>przepisami ustawy – Prawo przedsiębiorców</w:t>
      </w:r>
    </w:p>
    <w:p w14:paraId="703CEAAB" w14:textId="19A6B7F7" w:rsidR="00F527B5" w:rsidRPr="00C4755C" w:rsidRDefault="00F527B5" w:rsidP="00931E30">
      <w:pPr>
        <w:keepNext/>
        <w:widowControl/>
        <w:tabs>
          <w:tab w:val="left" w:pos="567"/>
        </w:tabs>
        <w:spacing w:before="120"/>
        <w:jc w:val="both"/>
        <w:rPr>
          <w:rFonts w:cs="Times New Roman"/>
          <w:bCs/>
          <w:szCs w:val="24"/>
        </w:rPr>
      </w:pPr>
      <w:r w:rsidRPr="00C4755C">
        <w:rPr>
          <w:rFonts w:cs="Times New Roman"/>
          <w:bCs/>
          <w:szCs w:val="24"/>
        </w:rPr>
        <w:t xml:space="preserve">Projektowane rozwiązania są zgodne z zasadami prowadzenia działalności gospodarczej, określonymi w ustawie z dnia 6 marca 2018 r. </w:t>
      </w:r>
      <w:r w:rsidR="002F0198" w:rsidRPr="00C4755C">
        <w:rPr>
          <w:rFonts w:cs="Times New Roman"/>
          <w:bCs/>
          <w:szCs w:val="24"/>
        </w:rPr>
        <w:t>–</w:t>
      </w:r>
      <w:r w:rsidRPr="00C4755C">
        <w:rPr>
          <w:rFonts w:cs="Times New Roman"/>
          <w:bCs/>
          <w:szCs w:val="24"/>
        </w:rPr>
        <w:t xml:space="preserve"> Prawo przedsiębiorców. W szczególności projekt realizuje zasady proporcjonalności i adekwatności przy opracowywaniu aktu normatywnego.</w:t>
      </w:r>
    </w:p>
    <w:p w14:paraId="19893F96" w14:textId="6EBB4130" w:rsidR="00F527B5" w:rsidRPr="00C4755C" w:rsidRDefault="00F527B5" w:rsidP="00C4755C">
      <w:pPr>
        <w:widowControl/>
        <w:tabs>
          <w:tab w:val="left" w:pos="284"/>
        </w:tabs>
        <w:spacing w:before="120"/>
        <w:jc w:val="both"/>
        <w:rPr>
          <w:rFonts w:cs="Times New Roman"/>
          <w:bCs/>
          <w:szCs w:val="24"/>
        </w:rPr>
      </w:pPr>
      <w:r w:rsidRPr="00C4755C">
        <w:rPr>
          <w:rFonts w:cs="Times New Roman"/>
          <w:bCs/>
          <w:szCs w:val="24"/>
        </w:rPr>
        <w:t>Projekt nie wprowadza nadmiernych obciążeń ani formalności. W przepisach projektu przewidziano szereg</w:t>
      </w:r>
      <w:r w:rsidR="00B408AB" w:rsidRPr="00C4755C">
        <w:rPr>
          <w:rFonts w:cs="Times New Roman"/>
          <w:bCs/>
          <w:szCs w:val="24"/>
        </w:rPr>
        <w:t xml:space="preserve"> rozwiązań, które maja chronić przedsiębiorców przed nieuczciwymi dłużnikami.</w:t>
      </w:r>
    </w:p>
    <w:p w14:paraId="5F5AF6D4" w14:textId="7187A98A" w:rsidR="00913B15" w:rsidRPr="00C4755C" w:rsidRDefault="000925B2" w:rsidP="00931E30">
      <w:pPr>
        <w:keepNext/>
        <w:numPr>
          <w:ilvl w:val="0"/>
          <w:numId w:val="2"/>
        </w:numPr>
        <w:spacing w:before="240"/>
        <w:ind w:left="505" w:hanging="351"/>
        <w:jc w:val="both"/>
        <w:rPr>
          <w:rFonts w:cs="Times New Roman"/>
          <w:b/>
          <w:szCs w:val="24"/>
        </w:rPr>
      </w:pPr>
      <w:r w:rsidRPr="00C4755C">
        <w:rPr>
          <w:rFonts w:cs="Times New Roman"/>
          <w:b/>
          <w:szCs w:val="24"/>
        </w:rPr>
        <w:t>Inne oświadczenia i informacje dotyczące projektu</w:t>
      </w:r>
    </w:p>
    <w:p w14:paraId="1A7B701A" w14:textId="77777777" w:rsidR="005B1D50" w:rsidRPr="00C4755C" w:rsidRDefault="005B1D50" w:rsidP="00C4755C">
      <w:pPr>
        <w:snapToGrid w:val="0"/>
        <w:spacing w:before="120"/>
        <w:jc w:val="both"/>
        <w:rPr>
          <w:rFonts w:cs="Times New Roman"/>
          <w:szCs w:val="24"/>
        </w:rPr>
      </w:pPr>
      <w:r w:rsidRPr="00C4755C">
        <w:rPr>
          <w:rFonts w:cs="Times New Roman"/>
          <w:szCs w:val="24"/>
        </w:rPr>
        <w:t>Projekt ustawy jest zgodny z prawem Unii Europejskiej.</w:t>
      </w:r>
    </w:p>
    <w:p w14:paraId="32C145F8" w14:textId="6AFCE355" w:rsidR="008946A4" w:rsidRPr="00C4755C" w:rsidRDefault="008946A4" w:rsidP="00C4755C">
      <w:pPr>
        <w:widowControl/>
        <w:autoSpaceDE/>
        <w:autoSpaceDN/>
        <w:adjustRightInd/>
        <w:spacing w:before="120"/>
        <w:jc w:val="both"/>
        <w:rPr>
          <w:rFonts w:eastAsia="Calibri" w:cs="Times New Roman"/>
          <w:szCs w:val="24"/>
          <w:lang w:eastAsia="en-US"/>
        </w:rPr>
      </w:pPr>
      <w:r w:rsidRPr="00C4755C">
        <w:rPr>
          <w:rFonts w:eastAsia="Calibri" w:cs="Times New Roman"/>
          <w:szCs w:val="24"/>
          <w:lang w:eastAsia="en-US"/>
        </w:rPr>
        <w:t xml:space="preserve">Projekt ustawy nie podlega przedstawieniu właściwym organom i instytucjom Unii Europejskiej, w tym Europejskiemu Bankowi Centralnemu. </w:t>
      </w:r>
    </w:p>
    <w:p w14:paraId="3FBC1DD3" w14:textId="7C800685" w:rsidR="00913B15" w:rsidRPr="00C4755C" w:rsidRDefault="00913B15" w:rsidP="00C4755C">
      <w:pPr>
        <w:snapToGrid w:val="0"/>
        <w:spacing w:before="120"/>
        <w:jc w:val="both"/>
        <w:rPr>
          <w:rFonts w:cs="Times New Roman"/>
          <w:szCs w:val="24"/>
        </w:rPr>
      </w:pPr>
      <w:r w:rsidRPr="00C4755C">
        <w:rPr>
          <w:rFonts w:cs="Times New Roman"/>
          <w:szCs w:val="24"/>
        </w:rPr>
        <w:t xml:space="preserve">Stosownie do </w:t>
      </w:r>
      <w:r w:rsidRPr="00C4755C">
        <w:rPr>
          <w:rFonts w:cs="Times New Roman"/>
          <w:i/>
          <w:szCs w:val="24"/>
        </w:rPr>
        <w:t xml:space="preserve">art. 5 ustawy z </w:t>
      </w:r>
      <w:r w:rsidR="002E469B" w:rsidRPr="00C4755C">
        <w:rPr>
          <w:rFonts w:cs="Times New Roman"/>
          <w:i/>
          <w:szCs w:val="24"/>
        </w:rPr>
        <w:t xml:space="preserve">dnia </w:t>
      </w:r>
      <w:r w:rsidRPr="00C4755C">
        <w:rPr>
          <w:rFonts w:cs="Times New Roman"/>
          <w:i/>
          <w:szCs w:val="24"/>
        </w:rPr>
        <w:t>7 lipca 2005 r. o działalności lobbingowej w</w:t>
      </w:r>
      <w:r w:rsidR="00584C51" w:rsidRPr="00C4755C">
        <w:rPr>
          <w:rFonts w:cs="Times New Roman"/>
          <w:i/>
          <w:szCs w:val="24"/>
        </w:rPr>
        <w:t xml:space="preserve"> </w:t>
      </w:r>
      <w:r w:rsidRPr="00C4755C">
        <w:rPr>
          <w:rFonts w:cs="Times New Roman"/>
          <w:i/>
          <w:szCs w:val="24"/>
        </w:rPr>
        <w:t>procesie stanowienia prawa</w:t>
      </w:r>
      <w:r w:rsidRPr="00C4755C">
        <w:rPr>
          <w:rFonts w:cs="Times New Roman"/>
          <w:szCs w:val="24"/>
        </w:rPr>
        <w:t xml:space="preserve"> oraz </w:t>
      </w:r>
      <w:r w:rsidRPr="00C4755C">
        <w:rPr>
          <w:rFonts w:cs="Times New Roman"/>
          <w:i/>
          <w:szCs w:val="24"/>
        </w:rPr>
        <w:t xml:space="preserve">art. 52 § 1 uchwały </w:t>
      </w:r>
      <w:r w:rsidR="00B546DB">
        <w:rPr>
          <w:rFonts w:cs="Times New Roman"/>
          <w:i/>
          <w:szCs w:val="24"/>
        </w:rPr>
        <w:t>n</w:t>
      </w:r>
      <w:r w:rsidRPr="00C4755C">
        <w:rPr>
          <w:rFonts w:cs="Times New Roman"/>
          <w:i/>
          <w:szCs w:val="24"/>
        </w:rPr>
        <w:t xml:space="preserve">r 190 Rady Ministrów z </w:t>
      </w:r>
      <w:r w:rsidR="00C6285D" w:rsidRPr="00C4755C">
        <w:rPr>
          <w:rFonts w:cs="Times New Roman"/>
          <w:i/>
          <w:szCs w:val="24"/>
        </w:rPr>
        <w:t xml:space="preserve">dnia </w:t>
      </w:r>
      <w:r w:rsidRPr="00C4755C">
        <w:rPr>
          <w:rFonts w:cs="Times New Roman"/>
          <w:i/>
          <w:szCs w:val="24"/>
        </w:rPr>
        <w:t>29 października 2013</w:t>
      </w:r>
      <w:r w:rsidR="00584C51" w:rsidRPr="00C4755C">
        <w:rPr>
          <w:rFonts w:cs="Times New Roman"/>
          <w:i/>
          <w:szCs w:val="24"/>
        </w:rPr>
        <w:t xml:space="preserve"> </w:t>
      </w:r>
      <w:r w:rsidRPr="00C4755C">
        <w:rPr>
          <w:rFonts w:cs="Times New Roman"/>
          <w:i/>
          <w:szCs w:val="24"/>
        </w:rPr>
        <w:t xml:space="preserve">r. </w:t>
      </w:r>
      <w:r w:rsidR="005B1D50" w:rsidRPr="00C4755C">
        <w:rPr>
          <w:rFonts w:cs="Times New Roman"/>
          <w:i/>
          <w:szCs w:val="24"/>
        </w:rPr>
        <w:t>– Regulamin pracy Rady Ministrów</w:t>
      </w:r>
      <w:r w:rsidRPr="00C4755C">
        <w:rPr>
          <w:rFonts w:cs="Times New Roman"/>
          <w:szCs w:val="24"/>
        </w:rPr>
        <w:t xml:space="preserve"> projekt ustawy zosta</w:t>
      </w:r>
      <w:r w:rsidR="00905F46" w:rsidRPr="00C4755C">
        <w:rPr>
          <w:rFonts w:cs="Times New Roman"/>
          <w:szCs w:val="24"/>
        </w:rPr>
        <w:t>ł</w:t>
      </w:r>
      <w:r w:rsidRPr="00C4755C">
        <w:rPr>
          <w:rFonts w:cs="Times New Roman"/>
          <w:szCs w:val="24"/>
        </w:rPr>
        <w:t xml:space="preserve"> </w:t>
      </w:r>
      <w:r w:rsidRPr="00C4755C">
        <w:rPr>
          <w:rFonts w:cs="Times New Roman"/>
          <w:szCs w:val="24"/>
        </w:rPr>
        <w:lastRenderedPageBreak/>
        <w:t>udostępniony w BIP Rządowego Centrum Legislacji, w serwisie Rządowy Proces Legislac</w:t>
      </w:r>
      <w:r w:rsidR="002E469B" w:rsidRPr="00C4755C">
        <w:rPr>
          <w:rFonts w:cs="Times New Roman"/>
          <w:szCs w:val="24"/>
        </w:rPr>
        <w:t>y</w:t>
      </w:r>
      <w:r w:rsidRPr="00C4755C">
        <w:rPr>
          <w:rFonts w:cs="Times New Roman"/>
          <w:szCs w:val="24"/>
        </w:rPr>
        <w:t>j</w:t>
      </w:r>
      <w:r w:rsidR="002E469B" w:rsidRPr="00C4755C">
        <w:rPr>
          <w:rFonts w:cs="Times New Roman"/>
          <w:szCs w:val="24"/>
        </w:rPr>
        <w:t>ny</w:t>
      </w:r>
      <w:r w:rsidRPr="00C4755C">
        <w:rPr>
          <w:rFonts w:cs="Times New Roman"/>
          <w:szCs w:val="24"/>
        </w:rPr>
        <w:t>.</w:t>
      </w:r>
      <w:r w:rsidR="00786C67" w:rsidRPr="00C4755C">
        <w:rPr>
          <w:rFonts w:cs="Times New Roman"/>
          <w:szCs w:val="24"/>
        </w:rPr>
        <w:t xml:space="preserve"> Zainteresowanie pracami nad projektem zgłosiły </w:t>
      </w:r>
      <w:r w:rsidR="001571F2" w:rsidRPr="00C4755C">
        <w:rPr>
          <w:rFonts w:cs="Times New Roman"/>
          <w:szCs w:val="24"/>
        </w:rPr>
        <w:t>następujące</w:t>
      </w:r>
      <w:r w:rsidR="00786C67" w:rsidRPr="00C4755C">
        <w:rPr>
          <w:rFonts w:cs="Times New Roman"/>
          <w:szCs w:val="24"/>
        </w:rPr>
        <w:t xml:space="preserve"> podmioty: Shell sp. z.o.o, Imperial To</w:t>
      </w:r>
      <w:r w:rsidR="00986E38" w:rsidRPr="00C4755C">
        <w:rPr>
          <w:rFonts w:cs="Times New Roman"/>
          <w:szCs w:val="24"/>
        </w:rPr>
        <w:t>bacco S.A., Polska Organizacja Przemysłu i Handlu Naftowego.</w:t>
      </w:r>
    </w:p>
    <w:p w14:paraId="1F800A6F" w14:textId="32FE96C1" w:rsidR="005B1D50" w:rsidRPr="00C4755C" w:rsidRDefault="00913B15"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Zawarte w projekcie ustawy regulacje nie st</w:t>
      </w:r>
      <w:r w:rsidR="009B2356" w:rsidRPr="00C4755C">
        <w:rPr>
          <w:rFonts w:ascii="Times New Roman" w:hAnsi="Times New Roman" w:cs="Times New Roman"/>
          <w:szCs w:val="24"/>
        </w:rPr>
        <w:t>anowią przepisów technicznych w</w:t>
      </w:r>
      <w:r w:rsidR="00584C51" w:rsidRPr="00C4755C">
        <w:rPr>
          <w:rFonts w:ascii="Times New Roman" w:hAnsi="Times New Roman" w:cs="Times New Roman"/>
          <w:szCs w:val="24"/>
        </w:rPr>
        <w:t xml:space="preserve"> </w:t>
      </w:r>
      <w:r w:rsidRPr="00C4755C">
        <w:rPr>
          <w:rFonts w:ascii="Times New Roman" w:hAnsi="Times New Roman" w:cs="Times New Roman"/>
          <w:szCs w:val="24"/>
        </w:rPr>
        <w:t xml:space="preserve">rozumieniu przepisów </w:t>
      </w:r>
      <w:r w:rsidRPr="00C4755C">
        <w:rPr>
          <w:rFonts w:ascii="Times New Roman" w:hAnsi="Times New Roman" w:cs="Times New Roman"/>
          <w:i/>
          <w:szCs w:val="24"/>
        </w:rPr>
        <w:t xml:space="preserve">rozporządzenia Rady Ministrów z </w:t>
      </w:r>
      <w:r w:rsidR="002E469B" w:rsidRPr="00C4755C">
        <w:rPr>
          <w:rFonts w:ascii="Times New Roman" w:hAnsi="Times New Roman" w:cs="Times New Roman"/>
          <w:i/>
          <w:szCs w:val="24"/>
        </w:rPr>
        <w:t xml:space="preserve">dnia </w:t>
      </w:r>
      <w:r w:rsidRPr="00C4755C">
        <w:rPr>
          <w:rFonts w:ascii="Times New Roman" w:hAnsi="Times New Roman" w:cs="Times New Roman"/>
          <w:i/>
          <w:szCs w:val="24"/>
        </w:rPr>
        <w:t>23 grudnia 2002 r. w sprawie sposobu funkcjonowania krajowego systemu</w:t>
      </w:r>
      <w:r w:rsidR="009B2356" w:rsidRPr="00C4755C">
        <w:rPr>
          <w:rFonts w:ascii="Times New Roman" w:hAnsi="Times New Roman" w:cs="Times New Roman"/>
          <w:i/>
          <w:szCs w:val="24"/>
        </w:rPr>
        <w:t xml:space="preserve"> notyfikacji norm aktów prawnych</w:t>
      </w:r>
      <w:r w:rsidR="009B2356" w:rsidRPr="00C4755C">
        <w:rPr>
          <w:rFonts w:ascii="Times New Roman" w:hAnsi="Times New Roman" w:cs="Times New Roman"/>
          <w:szCs w:val="24"/>
        </w:rPr>
        <w:t>, w</w:t>
      </w:r>
      <w:r w:rsidR="00584C51" w:rsidRPr="00C4755C">
        <w:rPr>
          <w:rFonts w:ascii="Times New Roman" w:hAnsi="Times New Roman" w:cs="Times New Roman"/>
          <w:szCs w:val="24"/>
        </w:rPr>
        <w:t xml:space="preserve"> </w:t>
      </w:r>
      <w:r w:rsidRPr="00C4755C">
        <w:rPr>
          <w:rFonts w:ascii="Times New Roman" w:hAnsi="Times New Roman" w:cs="Times New Roman"/>
          <w:szCs w:val="24"/>
        </w:rPr>
        <w:t>związku z</w:t>
      </w:r>
      <w:r w:rsidR="00584C51" w:rsidRPr="00C4755C">
        <w:rPr>
          <w:rFonts w:ascii="Times New Roman" w:hAnsi="Times New Roman" w:cs="Times New Roman"/>
          <w:szCs w:val="24"/>
        </w:rPr>
        <w:t xml:space="preserve"> </w:t>
      </w:r>
      <w:r w:rsidRPr="00C4755C">
        <w:rPr>
          <w:rFonts w:ascii="Times New Roman" w:hAnsi="Times New Roman" w:cs="Times New Roman"/>
          <w:szCs w:val="24"/>
        </w:rPr>
        <w:t>tym</w:t>
      </w:r>
      <w:r w:rsidR="00584C51" w:rsidRPr="00C4755C">
        <w:rPr>
          <w:rFonts w:ascii="Times New Roman" w:hAnsi="Times New Roman" w:cs="Times New Roman"/>
          <w:szCs w:val="24"/>
        </w:rPr>
        <w:t xml:space="preserve"> </w:t>
      </w:r>
      <w:r w:rsidRPr="00C4755C">
        <w:rPr>
          <w:rFonts w:ascii="Times New Roman" w:hAnsi="Times New Roman" w:cs="Times New Roman"/>
          <w:szCs w:val="24"/>
        </w:rPr>
        <w:t xml:space="preserve">projekt ustawy </w:t>
      </w:r>
      <w:r w:rsidR="005B1D50" w:rsidRPr="00C4755C">
        <w:rPr>
          <w:rFonts w:ascii="Times New Roman" w:hAnsi="Times New Roman" w:cs="Times New Roman"/>
          <w:szCs w:val="24"/>
        </w:rPr>
        <w:t>nie będzie podlegał notyfikacji.</w:t>
      </w:r>
    </w:p>
    <w:p w14:paraId="2186C3B8" w14:textId="601CF6ED" w:rsidR="00913B15" w:rsidRPr="00C4755C" w:rsidRDefault="00A77E6A"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Projekt został wpisany</w:t>
      </w:r>
      <w:r w:rsidR="003E61DA" w:rsidRPr="00C4755C">
        <w:rPr>
          <w:rFonts w:ascii="Times New Roman" w:hAnsi="Times New Roman" w:cs="Times New Roman"/>
          <w:szCs w:val="24"/>
        </w:rPr>
        <w:t xml:space="preserve"> do wykazu </w:t>
      </w:r>
      <w:r w:rsidR="00913B15" w:rsidRPr="00C4755C">
        <w:rPr>
          <w:rFonts w:ascii="Times New Roman" w:hAnsi="Times New Roman" w:cs="Times New Roman"/>
          <w:szCs w:val="24"/>
        </w:rPr>
        <w:t>prac legislacyjnych i</w:t>
      </w:r>
      <w:r w:rsidR="00584C51" w:rsidRPr="00C4755C">
        <w:rPr>
          <w:rFonts w:ascii="Times New Roman" w:hAnsi="Times New Roman" w:cs="Times New Roman"/>
          <w:szCs w:val="24"/>
        </w:rPr>
        <w:t xml:space="preserve"> </w:t>
      </w:r>
      <w:r w:rsidR="00913B15" w:rsidRPr="00C4755C">
        <w:rPr>
          <w:rFonts w:ascii="Times New Roman" w:hAnsi="Times New Roman" w:cs="Times New Roman"/>
          <w:szCs w:val="24"/>
        </w:rPr>
        <w:t xml:space="preserve">programowych Rady Ministrów </w:t>
      </w:r>
      <w:r w:rsidRPr="00C4755C">
        <w:rPr>
          <w:rFonts w:ascii="Times New Roman" w:hAnsi="Times New Roman" w:cs="Times New Roman"/>
          <w:szCs w:val="24"/>
        </w:rPr>
        <w:t xml:space="preserve">pod numerem </w:t>
      </w:r>
      <w:r w:rsidR="00D73415" w:rsidRPr="00C4755C">
        <w:rPr>
          <w:rFonts w:ascii="Times New Roman" w:hAnsi="Times New Roman" w:cs="Times New Roman"/>
          <w:szCs w:val="24"/>
        </w:rPr>
        <w:t>UD 429.</w:t>
      </w:r>
    </w:p>
    <w:p w14:paraId="4A0F1D18" w14:textId="56871207" w:rsidR="00913B15" w:rsidRPr="00C4755C" w:rsidRDefault="005B1D50" w:rsidP="00C4755C">
      <w:pPr>
        <w:pStyle w:val="ZLITUSTzmustliter"/>
        <w:spacing w:before="120"/>
        <w:ind w:left="0" w:firstLine="0"/>
        <w:rPr>
          <w:rFonts w:ascii="Times New Roman" w:hAnsi="Times New Roman" w:cs="Times New Roman"/>
          <w:szCs w:val="24"/>
        </w:rPr>
      </w:pPr>
      <w:r w:rsidRPr="00C4755C">
        <w:rPr>
          <w:rFonts w:ascii="Times New Roman" w:hAnsi="Times New Roman" w:cs="Times New Roman"/>
          <w:szCs w:val="24"/>
        </w:rPr>
        <w:t xml:space="preserve">Zgodnie z </w:t>
      </w:r>
      <w:r w:rsidRPr="00C4755C">
        <w:rPr>
          <w:rFonts w:ascii="Times New Roman" w:hAnsi="Times New Roman" w:cs="Times New Roman"/>
          <w:i/>
          <w:szCs w:val="24"/>
        </w:rPr>
        <w:t xml:space="preserve">uchwałą </w:t>
      </w:r>
      <w:r w:rsidR="00B546DB">
        <w:rPr>
          <w:rFonts w:ascii="Times New Roman" w:hAnsi="Times New Roman" w:cs="Times New Roman"/>
          <w:i/>
          <w:szCs w:val="24"/>
        </w:rPr>
        <w:t>n</w:t>
      </w:r>
      <w:r w:rsidRPr="00C4755C">
        <w:rPr>
          <w:rFonts w:ascii="Times New Roman" w:hAnsi="Times New Roman" w:cs="Times New Roman"/>
          <w:i/>
          <w:szCs w:val="24"/>
        </w:rPr>
        <w:t xml:space="preserve">r 20 Rady Ministrów z </w:t>
      </w:r>
      <w:r w:rsidR="002E469B" w:rsidRPr="00C4755C">
        <w:rPr>
          <w:rFonts w:ascii="Times New Roman" w:hAnsi="Times New Roman" w:cs="Times New Roman"/>
          <w:i/>
          <w:szCs w:val="24"/>
        </w:rPr>
        <w:t xml:space="preserve">dnia </w:t>
      </w:r>
      <w:r w:rsidRPr="00C4755C">
        <w:rPr>
          <w:rFonts w:ascii="Times New Roman" w:hAnsi="Times New Roman" w:cs="Times New Roman"/>
          <w:i/>
          <w:szCs w:val="24"/>
        </w:rPr>
        <w:t xml:space="preserve">18 lutego 2014 r. w sprawie zaleceń ujednolicenia terminów wejścia w życie niektórych aktów normatywnych, </w:t>
      </w:r>
      <w:r w:rsidRPr="00C4755C">
        <w:rPr>
          <w:rFonts w:ascii="Times New Roman" w:hAnsi="Times New Roman" w:cs="Times New Roman"/>
          <w:szCs w:val="24"/>
        </w:rPr>
        <w:t>planuje się</w:t>
      </w:r>
      <w:r w:rsidRPr="00C4755C">
        <w:rPr>
          <w:rFonts w:ascii="Times New Roman" w:hAnsi="Times New Roman" w:cs="Times New Roman"/>
          <w:i/>
          <w:szCs w:val="24"/>
        </w:rPr>
        <w:t xml:space="preserve">, </w:t>
      </w:r>
      <w:r w:rsidRPr="00C4755C">
        <w:rPr>
          <w:rFonts w:ascii="Times New Roman" w:hAnsi="Times New Roman" w:cs="Times New Roman"/>
          <w:szCs w:val="24"/>
        </w:rPr>
        <w:t>że</w:t>
      </w:r>
      <w:r w:rsidRPr="00C4755C">
        <w:rPr>
          <w:rFonts w:ascii="Times New Roman" w:hAnsi="Times New Roman" w:cs="Times New Roman"/>
          <w:i/>
          <w:szCs w:val="24"/>
        </w:rPr>
        <w:t xml:space="preserve"> </w:t>
      </w:r>
      <w:r w:rsidRPr="00C4755C">
        <w:rPr>
          <w:rFonts w:ascii="Times New Roman" w:hAnsi="Times New Roman" w:cs="Times New Roman"/>
          <w:szCs w:val="24"/>
        </w:rPr>
        <w:t xml:space="preserve">ustawa wejdzie w życie </w:t>
      </w:r>
      <w:r w:rsidR="00A77E6A" w:rsidRPr="00C4755C">
        <w:rPr>
          <w:rFonts w:ascii="Times New Roman" w:hAnsi="Times New Roman" w:cs="Times New Roman"/>
          <w:szCs w:val="24"/>
        </w:rPr>
        <w:t>z dniem 1 stycznia 2020 r.</w:t>
      </w:r>
      <w:r w:rsidR="00B77369" w:rsidRPr="00C4755C">
        <w:rPr>
          <w:rFonts w:ascii="Times New Roman" w:hAnsi="Times New Roman" w:cs="Times New Roman"/>
          <w:szCs w:val="24"/>
        </w:rPr>
        <w:t xml:space="preserve">, z wyjątkiem zmian w ustawie </w:t>
      </w:r>
      <w:r w:rsidR="002E469B" w:rsidRPr="00C4755C">
        <w:rPr>
          <w:rFonts w:ascii="Times New Roman" w:hAnsi="Times New Roman" w:cs="Times New Roman"/>
          <w:szCs w:val="24"/>
        </w:rPr>
        <w:t xml:space="preserve">o zmianie ustawy </w:t>
      </w:r>
      <w:proofErr w:type="spellStart"/>
      <w:r w:rsidR="002E469B" w:rsidRPr="00C4755C">
        <w:rPr>
          <w:rFonts w:ascii="Times New Roman" w:hAnsi="Times New Roman" w:cs="Times New Roman"/>
          <w:szCs w:val="24"/>
        </w:rPr>
        <w:t>Pzp</w:t>
      </w:r>
      <w:proofErr w:type="spellEnd"/>
      <w:r w:rsidR="00B77369" w:rsidRPr="00C4755C">
        <w:rPr>
          <w:rFonts w:ascii="Times New Roman" w:hAnsi="Times New Roman" w:cs="Times New Roman"/>
          <w:szCs w:val="24"/>
        </w:rPr>
        <w:t>, które wejdą w życie 31 grudnia 2019 r.</w:t>
      </w:r>
    </w:p>
    <w:sectPr w:rsidR="00913B15" w:rsidRPr="00C4755C" w:rsidSect="00C4755C">
      <w:footerReference w:type="default" r:id="rId8"/>
      <w:headerReference w:type="first" r:id="rId9"/>
      <w:footerReference w:type="first" r:id="rId10"/>
      <w:pgSz w:w="11906" w:h="16838" w:code="9"/>
      <w:pgMar w:top="1588" w:right="1418" w:bottom="1418" w:left="1985"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F621" w14:textId="77777777" w:rsidR="004E664E" w:rsidRDefault="004E664E" w:rsidP="004F0536">
      <w:r>
        <w:separator/>
      </w:r>
    </w:p>
  </w:endnote>
  <w:endnote w:type="continuationSeparator" w:id="0">
    <w:p w14:paraId="04B2DE35" w14:textId="77777777" w:rsidR="004E664E" w:rsidRDefault="004E664E" w:rsidP="004F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84111"/>
      <w:docPartObj>
        <w:docPartGallery w:val="Page Numbers (Bottom of Page)"/>
        <w:docPartUnique/>
      </w:docPartObj>
    </w:sdtPr>
    <w:sdtEndPr/>
    <w:sdtContent>
      <w:p w14:paraId="121651DA" w14:textId="67AE3631" w:rsidR="00DB1A0B" w:rsidRDefault="00DB1A0B" w:rsidP="00D63522">
        <w:pPr>
          <w:pStyle w:val="Stopka"/>
          <w:jc w:val="center"/>
        </w:pPr>
        <w:r>
          <w:fldChar w:fldCharType="begin"/>
        </w:r>
        <w:r>
          <w:instrText>PAGE   \* MERGEFORMAT</w:instrText>
        </w:r>
        <w:r>
          <w:fldChar w:fldCharType="separate"/>
        </w:r>
        <w:r w:rsidR="00474E9E">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AD53" w14:textId="3FCA13A4" w:rsidR="00DB1A0B" w:rsidRDefault="00DB1A0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070D" w14:textId="77777777" w:rsidR="004E664E" w:rsidRDefault="004E664E" w:rsidP="004F0536">
      <w:r>
        <w:separator/>
      </w:r>
    </w:p>
  </w:footnote>
  <w:footnote w:type="continuationSeparator" w:id="0">
    <w:p w14:paraId="605F4F9D" w14:textId="77777777" w:rsidR="004E664E" w:rsidRDefault="004E664E" w:rsidP="004F0536">
      <w:r>
        <w:continuationSeparator/>
      </w:r>
    </w:p>
  </w:footnote>
  <w:footnote w:id="1">
    <w:p w14:paraId="6B6CF630" w14:textId="3FFC88D5" w:rsidR="00DB1A0B" w:rsidRPr="00D63522" w:rsidRDefault="00DB1A0B" w:rsidP="00D63522">
      <w:pPr>
        <w:pStyle w:val="Tekstprzypisudolnego"/>
        <w:tabs>
          <w:tab w:val="left" w:pos="308"/>
        </w:tabs>
        <w:rPr>
          <w:rFonts w:cs="Times New Roman"/>
        </w:rPr>
      </w:pPr>
      <w:r w:rsidRPr="00D63522">
        <w:rPr>
          <w:rStyle w:val="Odwoanieprzypisudolnego"/>
        </w:rPr>
        <w:footnoteRef/>
      </w:r>
      <w:r>
        <w:rPr>
          <w:rFonts w:cs="Times New Roman"/>
          <w:vertAlign w:val="superscript"/>
        </w:rPr>
        <w:t>)</w:t>
      </w:r>
      <w:r>
        <w:rPr>
          <w:rFonts w:cs="Times New Roman"/>
          <w:vertAlign w:val="superscript"/>
        </w:rPr>
        <w:tab/>
      </w:r>
      <w:r w:rsidRPr="00D63522">
        <w:rPr>
          <w:rFonts w:cs="Times New Roman"/>
        </w:rPr>
        <w:t>Europejski Raport Płatności, Intrum Iustitia, 2017 r.</w:t>
      </w:r>
    </w:p>
  </w:footnote>
  <w:footnote w:id="2">
    <w:p w14:paraId="4E2D77D0" w14:textId="6F3BC9E5" w:rsidR="00DB1A0B" w:rsidRPr="00D63522" w:rsidRDefault="00DB1A0B" w:rsidP="00D6352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rPr>
        <w:tab/>
      </w:r>
      <w:r w:rsidRPr="00D63522">
        <w:rPr>
          <w:rFonts w:cs="Times New Roman"/>
        </w:rPr>
        <w:t>P. Białowolski, A. Łaszek, Forum Obywatelskiego Rozwoju, „Zatory Płatnicze: Duży problem małych firm”, marzec 2017.</w:t>
      </w:r>
    </w:p>
  </w:footnote>
  <w:footnote w:id="3">
    <w:p w14:paraId="415A4173" w14:textId="4835A7E4" w:rsidR="00DB1A0B" w:rsidRPr="00D63522" w:rsidRDefault="00DB1A0B" w:rsidP="008666B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Portfel należności polskich przedsiębiorstw za I kwartał 2018 r., projekt badawczy Konferencji Przedsiębiorstw finansowych w Polsce oraz Krajowego Rejestru Długów.</w:t>
      </w:r>
    </w:p>
  </w:footnote>
  <w:footnote w:id="4">
    <w:p w14:paraId="6D5548EE" w14:textId="1849BC6B" w:rsidR="00DB1A0B" w:rsidRPr="00D63522" w:rsidRDefault="00DB1A0B" w:rsidP="008A4755">
      <w:pPr>
        <w:pStyle w:val="Tekstprzypisudolnego"/>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D</w:t>
      </w:r>
      <w:r w:rsidRPr="00D63522">
        <w:rPr>
          <w:rFonts w:eastAsiaTheme="minorHAnsi" w:cs="Times New Roman"/>
        </w:rPr>
        <w:t>yrektywa Parlamentu Europejskiego i Rady 2011/7/UE z dnia 16 lutego 2011 r. w sprawie zwalczania opóźnień w płatnościach w transakcjach handlowych (Dz. Urz. UE L 48 z 23.02.2011, str. 1).</w:t>
      </w:r>
    </w:p>
  </w:footnote>
  <w:footnote w:id="5">
    <w:p w14:paraId="672FCBCF" w14:textId="6A8A6A59" w:rsidR="00DB1A0B" w:rsidRPr="00D63522" w:rsidRDefault="00DB1A0B" w:rsidP="008A4755">
      <w:pPr>
        <w:pStyle w:val="Tekstprzypisudolnego"/>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Wyrok SN z 28 listopada 2007 r. (sygn. V CSK 276/07).</w:t>
      </w:r>
    </w:p>
  </w:footnote>
  <w:footnote w:id="6">
    <w:p w14:paraId="595A109B" w14:textId="01B96D80" w:rsidR="00DB1A0B" w:rsidRPr="00D63522" w:rsidRDefault="00DB1A0B" w:rsidP="008666B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Uchwała nr 8 Rady Ministrów z dnia 14 lutego 2017 r. w sprawie przyjęcia Strategii na rzecz Odpowiedzialnego Rozwoju do roku 2020 (z perspektywą do 2030 r.), M.P. z 2017 r. poz. 260.</w:t>
      </w:r>
    </w:p>
  </w:footnote>
  <w:footnote w:id="7">
    <w:p w14:paraId="3B02775F" w14:textId="5F53D6EE" w:rsidR="00DB1A0B" w:rsidRPr="00D63522" w:rsidRDefault="00DB1A0B" w:rsidP="008666B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Preambuła do dyrektywy 2007/11/UE, motyw 28.</w:t>
      </w:r>
    </w:p>
  </w:footnote>
  <w:footnote w:id="8">
    <w:p w14:paraId="2440E494" w14:textId="3D9FCAA9"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Zatory płatnicze w Polsce. Zielona Księga”, kwiecień 2018. https://www.mpit.gov.</w:t>
      </w:r>
      <w:r>
        <w:t xml:space="preserve"> </w:t>
      </w:r>
      <w:proofErr w:type="spellStart"/>
      <w:r w:rsidRPr="00D63522">
        <w:t>pl</w:t>
      </w:r>
      <w:proofErr w:type="spellEnd"/>
      <w:r w:rsidRPr="00D63522">
        <w:t>/media/55199/</w:t>
      </w:r>
      <w:r>
        <w:t xml:space="preserve"> </w:t>
      </w:r>
      <w:r w:rsidRPr="00D63522">
        <w:t>Zielona_Ksiega_zatory_platniczne.pdf.</w:t>
      </w:r>
    </w:p>
  </w:footnote>
  <w:footnote w:id="9">
    <w:p w14:paraId="55A77CD7" w14:textId="628C52A5" w:rsidR="00DB1A0B" w:rsidRPr="00D63522" w:rsidRDefault="00DB1A0B" w:rsidP="008666B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Art.</w:t>
      </w:r>
      <w:r>
        <w:rPr>
          <w:rFonts w:cs="Times New Roman"/>
        </w:rPr>
        <w:t xml:space="preserve"> </w:t>
      </w:r>
      <w:r w:rsidRPr="00D63522">
        <w:rPr>
          <w:rFonts w:cs="Times New Roman"/>
        </w:rPr>
        <w:t>5 ustawy z dnia 12 czerwca 2003 r. o terminach zapłaty w transakcjach handlowych i art. 5 ustawy z dnia 8 marca 2013 r. pod tym samym tytułem.</w:t>
      </w:r>
    </w:p>
  </w:footnote>
  <w:footnote w:id="10">
    <w:p w14:paraId="244FA578" w14:textId="2404895F"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lang w:eastAsia="en-US"/>
        </w:rPr>
        <w:t>Ustawa z dnia 17 listopada</w:t>
      </w:r>
      <w:r w:rsidRPr="00D63522">
        <w:t xml:space="preserve"> </w:t>
      </w:r>
      <w:r w:rsidRPr="00D63522">
        <w:rPr>
          <w:lang w:eastAsia="en-US"/>
        </w:rPr>
        <w:t>1964 r. – Kodeks postępowania cywilnego (Dz. U. z 2018 r. poz. 1360</w:t>
      </w:r>
      <w:r w:rsidRPr="00D63522">
        <w:t>, z późn. zm.).</w:t>
      </w:r>
    </w:p>
  </w:footnote>
  <w:footnote w:id="11">
    <w:p w14:paraId="0F5F70C4" w14:textId="5725E049"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26 lipca 1991 r. o podatku dochodowym od osób fizycznych (Dz. U. z 2018 r. poz. 1509, z późn. zm.).</w:t>
      </w:r>
    </w:p>
  </w:footnote>
  <w:footnote w:id="12">
    <w:p w14:paraId="489F21C6" w14:textId="0C719C99"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15 lutego 1992 r. o podatku dochodowym od osób prawnych (Dz. U. z 2019 r. poz. 865).</w:t>
      </w:r>
    </w:p>
  </w:footnote>
  <w:footnote w:id="13">
    <w:p w14:paraId="5A41D0C4" w14:textId="542D32E6"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w:t>
      </w:r>
      <w:r w:rsidRPr="00D63522">
        <w:rPr>
          <w:rStyle w:val="Ppogrubienie"/>
        </w:rPr>
        <w:t xml:space="preserve"> </w:t>
      </w:r>
      <w:r w:rsidRPr="00D63522">
        <w:t>z dnia 16 kwietnia 1993 r. o zwalczaniu nieuczciwej konkurencj</w:t>
      </w:r>
      <w:r w:rsidR="00DB59D8">
        <w:t>i (Dz. U. z 2018 r. poz. 419, z </w:t>
      </w:r>
      <w:r w:rsidRPr="00D63522">
        <w:t>późn. zm</w:t>
      </w:r>
      <w:r w:rsidR="00396E9E">
        <w:t>.</w:t>
      </w:r>
      <w:r w:rsidRPr="00D63522">
        <w:t>).</w:t>
      </w:r>
    </w:p>
  </w:footnote>
  <w:footnote w:id="14">
    <w:p w14:paraId="22F50490" w14:textId="55863E1C" w:rsidR="00DB1A0B" w:rsidRPr="00D63522" w:rsidRDefault="00DB1A0B" w:rsidP="008666B2">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15 grudnia 2016 r. o przeciwdziałaniu nieuczciwemu wykorzystywaniu przewagi kontraktowej w obrocie produktami rolnymi i spożywczymi (Dz. U. z 2019 r. poz. 517).</w:t>
      </w:r>
    </w:p>
  </w:footnote>
  <w:footnote w:id="15">
    <w:p w14:paraId="78BA037C" w14:textId="1B07DFEF" w:rsidR="00DB1A0B" w:rsidRPr="00D63522" w:rsidRDefault="00DB1A0B" w:rsidP="008666B2">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Dz. U. z 2017 r. poz. 1132.</w:t>
      </w:r>
    </w:p>
  </w:footnote>
  <w:footnote w:id="16">
    <w:p w14:paraId="22A6CEFE" w14:textId="1666F555" w:rsidR="00DB1A0B" w:rsidRPr="00D63522" w:rsidRDefault="00DB1A0B" w:rsidP="00B01A38">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29 sierpnia 1997 r. – Ordynacja podatkowa (Dz. U. z 201</w:t>
      </w:r>
      <w:r w:rsidR="00DC2A9A">
        <w:t>9</w:t>
      </w:r>
      <w:r w:rsidRPr="00D63522">
        <w:t xml:space="preserve"> r. poz. </w:t>
      </w:r>
      <w:r w:rsidR="00DC2A9A">
        <w:t>9</w:t>
      </w:r>
      <w:r w:rsidRPr="00D63522">
        <w:t>00).</w:t>
      </w:r>
    </w:p>
  </w:footnote>
  <w:footnote w:id="17">
    <w:p w14:paraId="616D8B04" w14:textId="4B647AFF" w:rsidR="00DB1A0B" w:rsidRPr="00D63522" w:rsidRDefault="00DB1A0B" w:rsidP="00B01A38">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20 listopada 1998 r. o zryczałtowanym podatku dochodowym od niektórych przychodów osiąganych przez osoby fizyczne (Dz. U. z 2019 r. poz. 43).</w:t>
      </w:r>
    </w:p>
  </w:footnote>
  <w:footnote w:id="18">
    <w:p w14:paraId="132BAAF3" w14:textId="7338EE2D" w:rsidR="00DB1A0B" w:rsidRPr="00D63522" w:rsidRDefault="00DB1A0B" w:rsidP="00B01A38">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27 sierpnia 2009 r. o finansach publicznych (Dz. U. z 2019 r. poz. 869).</w:t>
      </w:r>
    </w:p>
  </w:footnote>
  <w:footnote w:id="19">
    <w:p w14:paraId="6BF96D39" w14:textId="2E1A7405" w:rsidR="00DB1A0B" w:rsidRPr="00D63522" w:rsidRDefault="00DB1A0B" w:rsidP="00B01A38">
      <w:pPr>
        <w:pStyle w:val="Tekstprzypisudolnego"/>
        <w:tabs>
          <w:tab w:val="left" w:pos="308"/>
        </w:tabs>
        <w:ind w:left="308" w:hanging="308"/>
        <w:jc w:val="both"/>
      </w:pPr>
      <w:r w:rsidRPr="00D63522">
        <w:rPr>
          <w:rStyle w:val="Odwoanieprzypisudolnego"/>
        </w:rPr>
        <w:footnoteRef/>
      </w:r>
      <w:r w:rsidRPr="00454FF9">
        <w:rPr>
          <w:rFonts w:cs="Times New Roman"/>
          <w:vertAlign w:val="superscript"/>
        </w:rPr>
        <w:t>)</w:t>
      </w:r>
      <w:r>
        <w:rPr>
          <w:rFonts w:cs="Times New Roman"/>
          <w:vertAlign w:val="superscript"/>
        </w:rPr>
        <w:tab/>
      </w:r>
      <w:r w:rsidRPr="00D63522">
        <w:t>Ustawa z dnia 8 marca 2013 r. o terminach zapłaty w transakcjach ha</w:t>
      </w:r>
      <w:r w:rsidR="00DB59D8">
        <w:t>ndlowych (Dz. U. z 2019 r. poz. </w:t>
      </w:r>
      <w:r w:rsidRPr="00D63522">
        <w:t>118).</w:t>
      </w:r>
    </w:p>
  </w:footnote>
  <w:footnote w:id="20">
    <w:p w14:paraId="15B37134" w14:textId="139F77A2"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„podmiot publiczny</w:t>
      </w:r>
      <w:r w:rsidR="00C74C5E">
        <w:rPr>
          <w:rFonts w:cs="Times New Roman"/>
        </w:rPr>
        <w:t>”</w:t>
      </w:r>
      <w:r w:rsidRPr="00D63522">
        <w:rPr>
          <w:rFonts w:cs="Times New Roman"/>
        </w:rPr>
        <w:t xml:space="preserve"> – podmiot, o którym mowa w art. 3 ust. 1 pkt 1–3a ustawy z dnia 29 stycznia 2004 r. – Prawo zamówień publicznych.”.</w:t>
      </w:r>
    </w:p>
  </w:footnote>
  <w:footnote w:id="21">
    <w:p w14:paraId="1E0F59E8" w14:textId="21E1CD78"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Art. 8 ust. 2 ustawy o terminach zapłaty w transakcjach handlowych.</w:t>
      </w:r>
    </w:p>
  </w:footnote>
  <w:footnote w:id="22">
    <w:p w14:paraId="46E9CC50" w14:textId="4318ACCB"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Uchwała Sądu Najwyższego z 11 grudnia 2015 r (sygn. III CZP 94/15).</w:t>
      </w:r>
    </w:p>
  </w:footnote>
  <w:footnote w:id="23">
    <w:p w14:paraId="124FE8DD" w14:textId="3C3DE502"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Art. 5. Nie można czynić ze swego prawa użytku, który by był sprzeczny ze społeczno-gospodarczym przeznaczeniem tego prawa lub z zasadami współżycia społecznego. Takie działanie lub zaniechanie uprawnionego nie jest uważane za wykonywanie prawa i nie korzysta z ochrony.</w:t>
      </w:r>
    </w:p>
  </w:footnote>
  <w:footnote w:id="24">
    <w:p w14:paraId="1EA52AEC" w14:textId="756540FB"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Zob. wyrok Sądu Okręgowego w Rzeszowie z 14 października 2016 r. (sygn. VI Ga 287/16), który zapadł na kanwie sprawy, w</w:t>
      </w:r>
      <w:r>
        <w:rPr>
          <w:rFonts w:cs="Times New Roman"/>
        </w:rPr>
        <w:t xml:space="preserve"> </w:t>
      </w:r>
      <w:r w:rsidRPr="00D63522">
        <w:rPr>
          <w:rFonts w:cs="Times New Roman"/>
        </w:rPr>
        <w:t>której wierzyciel dochodził jedną notą księgową i jednym przedsądowym wezwaniem do zapłaty odsetek za opóźnienie w wymiarze od 6 do 39 dni w zapłacie sześciu należności w łącznej wysokości 55,95 zł, zaś suma rekompensat wyniosła 808,96 zł.</w:t>
      </w:r>
    </w:p>
  </w:footnote>
  <w:footnote w:id="25">
    <w:p w14:paraId="629A6838" w14:textId="691B5FDD"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Art. 7 ust. 1 dyrektywy 2007/11/UE.</w:t>
      </w:r>
    </w:p>
  </w:footnote>
  <w:footnote w:id="26">
    <w:p w14:paraId="75F476F0" w14:textId="2BCF1EBA"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Zgodnie z art. 6 Kodeksu cywilnego „ciężar udowodnienia faktu spoczywa na osobie, która z faktu tego wywodzi skutki prawne”.</w:t>
      </w:r>
    </w:p>
  </w:footnote>
  <w:footnote w:id="27">
    <w:p w14:paraId="47D13787" w14:textId="103256BB"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Zob. np. postanowienie SN z 4.3.2016 r. (sygn. I CZ 8/16): „Żądanie ustalenia nieważności umowy nie jest wprawdzie dochodzeniem uprawnienia polegającego na tym, że oznaczona osoba ma obowiązek wykonać świadczenie na rzecz uprawnionego, a uprawniony może żądać, aby zachowała się ona w ściśle określony sposób, lecz konstatacja ta nie przesądza kwestii zaliczenia sprawy o ustalenie do kategorii spraw o prawa majątkowe lub niemajątkowe. Dla kwalifikacji tej bowiem istotne jest to, czy żądanie ustalenia służy realizacji interesów majątkowych uprawnionego”.</w:t>
      </w:r>
    </w:p>
  </w:footnote>
  <w:footnote w:id="28">
    <w:p w14:paraId="5D284B62" w14:textId="65657549"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Nie jest to nowe rozwiązanie w prawie polskim. Podobna konstrukcja została zastosowana w art. 764</w:t>
      </w:r>
      <w:r w:rsidRPr="00D63522">
        <w:rPr>
          <w:rFonts w:cs="Times New Roman"/>
          <w:vertAlign w:val="superscript"/>
        </w:rPr>
        <w:t>1</w:t>
      </w:r>
      <w:r w:rsidRPr="00D63522">
        <w:rPr>
          <w:rFonts w:cs="Times New Roman"/>
        </w:rPr>
        <w:t xml:space="preserve"> §4 Kodeksu cywilnego, który także przewiduje przyznanie określonych uprawnień jednej ze stron umowy już po jej rozwiązaniu.</w:t>
      </w:r>
    </w:p>
  </w:footnote>
  <w:footnote w:id="29">
    <w:p w14:paraId="605F831C" w14:textId="05FCA39D" w:rsidR="00DB1A0B" w:rsidRPr="00D63522" w:rsidRDefault="00DB1A0B" w:rsidP="00B01A38">
      <w:pPr>
        <w:pStyle w:val="Tekstprzypisudolnego"/>
        <w:tabs>
          <w:tab w:val="left" w:pos="308"/>
        </w:tabs>
        <w:ind w:left="308" w:hanging="308"/>
        <w:jc w:val="both"/>
        <w:rPr>
          <w:rFonts w:cs="Times New Roman"/>
        </w:rPr>
      </w:pPr>
      <w:r w:rsidRPr="00D63522">
        <w:rPr>
          <w:rStyle w:val="Odwoanieprzypisudolnego"/>
        </w:rPr>
        <w:footnoteRef/>
      </w:r>
      <w:r w:rsidRPr="00454FF9">
        <w:rPr>
          <w:rFonts w:cs="Times New Roman"/>
          <w:vertAlign w:val="superscript"/>
        </w:rPr>
        <w:t>)</w:t>
      </w:r>
      <w:r>
        <w:rPr>
          <w:rFonts w:cs="Times New Roman"/>
          <w:vertAlign w:val="superscript"/>
        </w:rPr>
        <w:tab/>
      </w:r>
      <w:r w:rsidRPr="00D63522">
        <w:rPr>
          <w:rFonts w:cs="Times New Roman"/>
        </w:rPr>
        <w:t>„2. Podanie do publicznej wiadomości, o którym mowa w ust. 1, dotyczy indywidualnych danych:</w:t>
      </w:r>
    </w:p>
    <w:p w14:paraId="4B35AD8A" w14:textId="77777777" w:rsidR="00DB1A0B" w:rsidRPr="00D63522" w:rsidRDefault="00DB1A0B" w:rsidP="00D63522">
      <w:pPr>
        <w:pStyle w:val="Tekstprzypisudolnego"/>
        <w:tabs>
          <w:tab w:val="left" w:pos="-4395"/>
        </w:tabs>
        <w:ind w:left="568" w:hanging="284"/>
        <w:jc w:val="both"/>
        <w:rPr>
          <w:rFonts w:cs="Times New Roman"/>
        </w:rPr>
      </w:pPr>
      <w:r w:rsidRPr="00D63522">
        <w:rPr>
          <w:rFonts w:cs="Times New Roman"/>
        </w:rPr>
        <w:t>1)</w:t>
      </w:r>
      <w:r w:rsidRPr="00D63522">
        <w:rPr>
          <w:rFonts w:cs="Times New Roman"/>
        </w:rPr>
        <w:tab/>
        <w:t>podatkowych grup kapitałowych, bez względu na wysokość osiągniętych przychodów;</w:t>
      </w:r>
    </w:p>
    <w:p w14:paraId="654F598D" w14:textId="32D22BB1" w:rsidR="00DB1A0B" w:rsidRPr="00D63522" w:rsidRDefault="00DB1A0B" w:rsidP="00D63522">
      <w:pPr>
        <w:pStyle w:val="Tekstprzypisudolnego"/>
        <w:tabs>
          <w:tab w:val="left" w:pos="-4395"/>
        </w:tabs>
        <w:ind w:left="568" w:hanging="284"/>
        <w:jc w:val="both"/>
        <w:rPr>
          <w:rFonts w:cs="Times New Roman"/>
        </w:rPr>
      </w:pPr>
      <w:r w:rsidRPr="00D63522">
        <w:rPr>
          <w:rFonts w:cs="Times New Roman"/>
        </w:rPr>
        <w:t>2)</w:t>
      </w:r>
      <w:r w:rsidRPr="00D63522">
        <w:rPr>
          <w:rFonts w:cs="Times New Roman"/>
        </w:rPr>
        <w:tab/>
        <w:t>podatników innych niż podatkowe grupy kapitałowe, u których wartość przychodu uzyskana w roku podatkowym, o którym mowa w ust. 1, przekroczyła równowartość 50 milionów euro przeliczonych na złote według średniego kursu euro ogłaszanego przez Narodowy Bank Polski w ostatnim dniu roboczym roku kalendarzowego poprzedzającego podanie indywidualnych danych do publicznej wiadomości.”.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E48F" w14:textId="74062A73" w:rsidR="00DB1A0B" w:rsidRPr="00CB23C2" w:rsidRDefault="00DB1A0B" w:rsidP="00D63522">
    <w:pPr>
      <w:pStyle w:val="OZNPROJEKTUwskazaniedatylubwersjiprojektu"/>
      <w:tabs>
        <w:tab w:val="left" w:pos="7545"/>
        <w:tab w:val="left" w:pos="7655"/>
        <w:tab w:val="right" w:pos="88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EE9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A3F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41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6D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E264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E2B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84E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46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66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01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76C68"/>
    <w:multiLevelType w:val="hybridMultilevel"/>
    <w:tmpl w:val="294A5D9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9FD6388"/>
    <w:multiLevelType w:val="hybridMultilevel"/>
    <w:tmpl w:val="300CA0A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271221"/>
    <w:multiLevelType w:val="hybridMultilevel"/>
    <w:tmpl w:val="89040858"/>
    <w:lvl w:ilvl="0" w:tplc="4AFC2EC2">
      <w:start w:val="1"/>
      <w:numFmt w:val="decimal"/>
      <w:lvlText w:val="%1)"/>
      <w:lvlJc w:val="left"/>
      <w:pPr>
        <w:ind w:left="1065" w:hanging="705"/>
      </w:pPr>
      <w:rPr>
        <w:rFonts w:hint="default"/>
      </w:rPr>
    </w:lvl>
    <w:lvl w:ilvl="1" w:tplc="8C7859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200EA"/>
    <w:multiLevelType w:val="hybridMultilevel"/>
    <w:tmpl w:val="8D0465A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C201D7"/>
    <w:multiLevelType w:val="hybridMultilevel"/>
    <w:tmpl w:val="245A08EE"/>
    <w:lvl w:ilvl="0" w:tplc="14A8E8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1015C"/>
    <w:multiLevelType w:val="hybridMultilevel"/>
    <w:tmpl w:val="DBF27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902C1"/>
    <w:multiLevelType w:val="hybridMultilevel"/>
    <w:tmpl w:val="46EAF0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D6B5095"/>
    <w:multiLevelType w:val="hybridMultilevel"/>
    <w:tmpl w:val="6A42F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334A9"/>
    <w:multiLevelType w:val="hybridMultilevel"/>
    <w:tmpl w:val="27C892FC"/>
    <w:lvl w:ilvl="0" w:tplc="04150011">
      <w:start w:val="1"/>
      <w:numFmt w:val="decimal"/>
      <w:lvlText w:val="%1)"/>
      <w:lvlJc w:val="left"/>
      <w:pPr>
        <w:ind w:left="720" w:hanging="360"/>
      </w:pPr>
      <w:rPr>
        <w:rFonts w:hint="default"/>
      </w:rPr>
    </w:lvl>
    <w:lvl w:ilvl="1" w:tplc="36F0FE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5912BB"/>
    <w:multiLevelType w:val="hybridMultilevel"/>
    <w:tmpl w:val="6E0C2CFE"/>
    <w:lvl w:ilvl="0" w:tplc="8E885C10">
      <w:start w:val="1"/>
      <w:numFmt w:val="bullet"/>
      <w:lvlText w:val=""/>
      <w:lvlJc w:val="left"/>
      <w:pPr>
        <w:ind w:left="3904" w:hanging="360"/>
      </w:pPr>
      <w:rPr>
        <w:rFonts w:ascii="Wingdings" w:hAnsi="Wingdings" w:hint="default"/>
        <w:color w:val="244061"/>
      </w:rPr>
    </w:lvl>
    <w:lvl w:ilvl="1" w:tplc="04150003" w:tentative="1">
      <w:start w:val="1"/>
      <w:numFmt w:val="bullet"/>
      <w:lvlText w:val="o"/>
      <w:lvlJc w:val="left"/>
      <w:pPr>
        <w:ind w:left="4624" w:hanging="360"/>
      </w:pPr>
      <w:rPr>
        <w:rFonts w:ascii="Courier New" w:hAnsi="Courier New" w:cs="Courier New" w:hint="default"/>
      </w:rPr>
    </w:lvl>
    <w:lvl w:ilvl="2" w:tplc="04150005" w:tentative="1">
      <w:start w:val="1"/>
      <w:numFmt w:val="bullet"/>
      <w:lvlText w:val=""/>
      <w:lvlJc w:val="left"/>
      <w:pPr>
        <w:ind w:left="5344" w:hanging="360"/>
      </w:pPr>
      <w:rPr>
        <w:rFonts w:ascii="Wingdings" w:hAnsi="Wingdings" w:hint="default"/>
      </w:rPr>
    </w:lvl>
    <w:lvl w:ilvl="3" w:tplc="04150001" w:tentative="1">
      <w:start w:val="1"/>
      <w:numFmt w:val="bullet"/>
      <w:lvlText w:val=""/>
      <w:lvlJc w:val="left"/>
      <w:pPr>
        <w:ind w:left="6064" w:hanging="360"/>
      </w:pPr>
      <w:rPr>
        <w:rFonts w:ascii="Symbol" w:hAnsi="Symbol" w:hint="default"/>
      </w:rPr>
    </w:lvl>
    <w:lvl w:ilvl="4" w:tplc="04150003" w:tentative="1">
      <w:start w:val="1"/>
      <w:numFmt w:val="bullet"/>
      <w:lvlText w:val="o"/>
      <w:lvlJc w:val="left"/>
      <w:pPr>
        <w:ind w:left="6784" w:hanging="360"/>
      </w:pPr>
      <w:rPr>
        <w:rFonts w:ascii="Courier New" w:hAnsi="Courier New" w:cs="Courier New" w:hint="default"/>
      </w:rPr>
    </w:lvl>
    <w:lvl w:ilvl="5" w:tplc="04150005" w:tentative="1">
      <w:start w:val="1"/>
      <w:numFmt w:val="bullet"/>
      <w:lvlText w:val=""/>
      <w:lvlJc w:val="left"/>
      <w:pPr>
        <w:ind w:left="7504" w:hanging="360"/>
      </w:pPr>
      <w:rPr>
        <w:rFonts w:ascii="Wingdings" w:hAnsi="Wingdings" w:hint="default"/>
      </w:rPr>
    </w:lvl>
    <w:lvl w:ilvl="6" w:tplc="04150001" w:tentative="1">
      <w:start w:val="1"/>
      <w:numFmt w:val="bullet"/>
      <w:lvlText w:val=""/>
      <w:lvlJc w:val="left"/>
      <w:pPr>
        <w:ind w:left="8224" w:hanging="360"/>
      </w:pPr>
      <w:rPr>
        <w:rFonts w:ascii="Symbol" w:hAnsi="Symbol" w:hint="default"/>
      </w:rPr>
    </w:lvl>
    <w:lvl w:ilvl="7" w:tplc="04150003" w:tentative="1">
      <w:start w:val="1"/>
      <w:numFmt w:val="bullet"/>
      <w:lvlText w:val="o"/>
      <w:lvlJc w:val="left"/>
      <w:pPr>
        <w:ind w:left="8944" w:hanging="360"/>
      </w:pPr>
      <w:rPr>
        <w:rFonts w:ascii="Courier New" w:hAnsi="Courier New" w:cs="Courier New" w:hint="default"/>
      </w:rPr>
    </w:lvl>
    <w:lvl w:ilvl="8" w:tplc="04150005" w:tentative="1">
      <w:start w:val="1"/>
      <w:numFmt w:val="bullet"/>
      <w:lvlText w:val=""/>
      <w:lvlJc w:val="left"/>
      <w:pPr>
        <w:ind w:left="9664" w:hanging="360"/>
      </w:pPr>
      <w:rPr>
        <w:rFonts w:ascii="Wingdings" w:hAnsi="Wingdings" w:hint="default"/>
      </w:rPr>
    </w:lvl>
  </w:abstractNum>
  <w:abstractNum w:abstractNumId="20" w15:restartNumberingAfterBreak="0">
    <w:nsid w:val="254E4FAD"/>
    <w:multiLevelType w:val="hybridMultilevel"/>
    <w:tmpl w:val="46EAF0D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CF978AC"/>
    <w:multiLevelType w:val="multilevel"/>
    <w:tmpl w:val="C6F2B6CC"/>
    <w:lvl w:ilvl="0">
      <w:start w:val="6"/>
      <w:numFmt w:val="upperRoman"/>
      <w:lvlText w:val="%1."/>
      <w:lvlJc w:val="righ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FE06958"/>
    <w:multiLevelType w:val="hybridMultilevel"/>
    <w:tmpl w:val="18BE9334"/>
    <w:lvl w:ilvl="0" w:tplc="A0F2F18C">
      <w:start w:val="1"/>
      <w:numFmt w:val="upperRoman"/>
      <w:lvlText w:val="%1."/>
      <w:lvlJc w:val="center"/>
      <w:pPr>
        <w:ind w:left="3054" w:hanging="360"/>
      </w:pPr>
      <w:rPr>
        <w:rFonts w:hint="default"/>
        <w:i w:val="0"/>
      </w:rPr>
    </w:lvl>
    <w:lvl w:ilvl="1" w:tplc="670CD6F4">
      <w:start w:val="1"/>
      <w:numFmt w:val="decimal"/>
      <w:lvlText w:val="%2)"/>
      <w:lvlJc w:val="left"/>
      <w:pPr>
        <w:ind w:left="1860" w:hanging="7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06DE0"/>
    <w:multiLevelType w:val="hybridMultilevel"/>
    <w:tmpl w:val="0008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53BB4"/>
    <w:multiLevelType w:val="hybridMultilevel"/>
    <w:tmpl w:val="457295D8"/>
    <w:lvl w:ilvl="0" w:tplc="328EE8E6">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5" w15:restartNumberingAfterBreak="0">
    <w:nsid w:val="405C572A"/>
    <w:multiLevelType w:val="multilevel"/>
    <w:tmpl w:val="93D623BE"/>
    <w:lvl w:ilvl="0">
      <w:start w:val="5"/>
      <w:numFmt w:val="upperRoman"/>
      <w:lvlText w:val="%1."/>
      <w:lvlJc w:val="righ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43B41D2"/>
    <w:multiLevelType w:val="hybridMultilevel"/>
    <w:tmpl w:val="AFCCAD20"/>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46E571F0"/>
    <w:multiLevelType w:val="hybridMultilevel"/>
    <w:tmpl w:val="AD7E58A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77D4578"/>
    <w:multiLevelType w:val="hybridMultilevel"/>
    <w:tmpl w:val="685C162E"/>
    <w:lvl w:ilvl="0" w:tplc="04150011">
      <w:start w:val="1"/>
      <w:numFmt w:val="decimal"/>
      <w:lvlText w:val="%1)"/>
      <w:lvlJc w:val="left"/>
      <w:pPr>
        <w:ind w:left="720" w:hanging="360"/>
      </w:pPr>
    </w:lvl>
    <w:lvl w:ilvl="1" w:tplc="3F202C14">
      <w:start w:val="1"/>
      <w:numFmt w:val="lowerLetter"/>
      <w:lvlText w:val="%2)"/>
      <w:lvlJc w:val="left"/>
      <w:pPr>
        <w:ind w:left="2490" w:hanging="14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616C03"/>
    <w:multiLevelType w:val="hybridMultilevel"/>
    <w:tmpl w:val="D9366500"/>
    <w:lvl w:ilvl="0" w:tplc="328EE8E6">
      <w:start w:val="1"/>
      <w:numFmt w:val="bullet"/>
      <w:lvlText w:val=""/>
      <w:lvlJc w:val="left"/>
      <w:pPr>
        <w:ind w:left="1230" w:hanging="360"/>
      </w:pPr>
      <w:rPr>
        <w:rFonts w:ascii="Symbol" w:hAnsi="Symbol" w:hint="default"/>
      </w:rPr>
    </w:lvl>
    <w:lvl w:ilvl="1" w:tplc="328EE8E6">
      <w:start w:val="1"/>
      <w:numFmt w:val="bullet"/>
      <w:lvlText w:val=""/>
      <w:lvlJc w:val="left"/>
      <w:pPr>
        <w:ind w:left="1950" w:hanging="360"/>
      </w:pPr>
      <w:rPr>
        <w:rFonts w:ascii="Symbol" w:hAnsi="Symbol"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0" w15:restartNumberingAfterBreak="0">
    <w:nsid w:val="58D5298F"/>
    <w:multiLevelType w:val="hybridMultilevel"/>
    <w:tmpl w:val="93C22614"/>
    <w:lvl w:ilvl="0" w:tplc="0A7C8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E9A115E"/>
    <w:multiLevelType w:val="hybridMultilevel"/>
    <w:tmpl w:val="D77A0C32"/>
    <w:lvl w:ilvl="0" w:tplc="04150011">
      <w:start w:val="1"/>
      <w:numFmt w:val="decimal"/>
      <w:lvlText w:val="%1)"/>
      <w:lvlJc w:val="left"/>
      <w:pPr>
        <w:ind w:left="-1620" w:hanging="360"/>
      </w:pPr>
    </w:lvl>
    <w:lvl w:ilvl="1" w:tplc="04150019" w:tentative="1">
      <w:start w:val="1"/>
      <w:numFmt w:val="lowerLetter"/>
      <w:lvlText w:val="%2."/>
      <w:lvlJc w:val="left"/>
      <w:pPr>
        <w:ind w:left="-90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540" w:hanging="360"/>
      </w:pPr>
    </w:lvl>
    <w:lvl w:ilvl="4" w:tplc="04150019" w:tentative="1">
      <w:start w:val="1"/>
      <w:numFmt w:val="lowerLetter"/>
      <w:lvlText w:val="%5."/>
      <w:lvlJc w:val="left"/>
      <w:pPr>
        <w:ind w:left="1260" w:hanging="360"/>
      </w:pPr>
    </w:lvl>
    <w:lvl w:ilvl="5" w:tplc="0415001B" w:tentative="1">
      <w:start w:val="1"/>
      <w:numFmt w:val="lowerRoman"/>
      <w:lvlText w:val="%6."/>
      <w:lvlJc w:val="right"/>
      <w:pPr>
        <w:ind w:left="1980" w:hanging="180"/>
      </w:pPr>
    </w:lvl>
    <w:lvl w:ilvl="6" w:tplc="0415000F" w:tentative="1">
      <w:start w:val="1"/>
      <w:numFmt w:val="decimal"/>
      <w:lvlText w:val="%7."/>
      <w:lvlJc w:val="left"/>
      <w:pPr>
        <w:ind w:left="2700" w:hanging="360"/>
      </w:pPr>
    </w:lvl>
    <w:lvl w:ilvl="7" w:tplc="04150019" w:tentative="1">
      <w:start w:val="1"/>
      <w:numFmt w:val="lowerLetter"/>
      <w:lvlText w:val="%8."/>
      <w:lvlJc w:val="left"/>
      <w:pPr>
        <w:ind w:left="3420" w:hanging="360"/>
      </w:pPr>
    </w:lvl>
    <w:lvl w:ilvl="8" w:tplc="0415001B" w:tentative="1">
      <w:start w:val="1"/>
      <w:numFmt w:val="lowerRoman"/>
      <w:lvlText w:val="%9."/>
      <w:lvlJc w:val="right"/>
      <w:pPr>
        <w:ind w:left="4140" w:hanging="180"/>
      </w:pPr>
    </w:lvl>
  </w:abstractNum>
  <w:abstractNum w:abstractNumId="32" w15:restartNumberingAfterBreak="0">
    <w:nsid w:val="686E09CF"/>
    <w:multiLevelType w:val="hybridMultilevel"/>
    <w:tmpl w:val="D3085F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A37D52"/>
    <w:multiLevelType w:val="hybridMultilevel"/>
    <w:tmpl w:val="04603D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D07248"/>
    <w:multiLevelType w:val="hybridMultilevel"/>
    <w:tmpl w:val="245A08EE"/>
    <w:lvl w:ilvl="0" w:tplc="14A8E8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80A77"/>
    <w:multiLevelType w:val="hybridMultilevel"/>
    <w:tmpl w:val="F5266562"/>
    <w:lvl w:ilvl="0" w:tplc="0A7C8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BFF30C2"/>
    <w:multiLevelType w:val="hybridMultilevel"/>
    <w:tmpl w:val="8F30B09E"/>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8"/>
  </w:num>
  <w:num w:numId="4">
    <w:abstractNumId w:val="20"/>
  </w:num>
  <w:num w:numId="5">
    <w:abstractNumId w:val="17"/>
  </w:num>
  <w:num w:numId="6">
    <w:abstractNumId w:val="13"/>
  </w:num>
  <w:num w:numId="7">
    <w:abstractNumId w:val="10"/>
  </w:num>
  <w:num w:numId="8">
    <w:abstractNumId w:val="11"/>
  </w:num>
  <w:num w:numId="9">
    <w:abstractNumId w:val="31"/>
  </w:num>
  <w:num w:numId="10">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6"/>
  </w:num>
  <w:num w:numId="14">
    <w:abstractNumId w:val="33"/>
  </w:num>
  <w:num w:numId="15">
    <w:abstractNumId w:val="24"/>
  </w:num>
  <w:num w:numId="16">
    <w:abstractNumId w:val="29"/>
  </w:num>
  <w:num w:numId="17">
    <w:abstractNumId w:val="27"/>
  </w:num>
  <w:num w:numId="18">
    <w:abstractNumId w:val="14"/>
  </w:num>
  <w:num w:numId="19">
    <w:abstractNumId w:val="35"/>
  </w:num>
  <w:num w:numId="20">
    <w:abstractNumId w:val="30"/>
  </w:num>
  <w:num w:numId="21">
    <w:abstractNumId w:val="36"/>
  </w:num>
  <w:num w:numId="22">
    <w:abstractNumId w:val="18"/>
  </w:num>
  <w:num w:numId="23">
    <w:abstractNumId w:val="19"/>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15"/>
  </w:num>
  <w:num w:numId="35">
    <w:abstractNumId w:val="32"/>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hideGrammaticalErrors/>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8"/>
  <w:hyphenationZone w:val="425"/>
  <w:drawingGridHorizontalSpacing w:val="221"/>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0A"/>
    <w:rsid w:val="00001395"/>
    <w:rsid w:val="00004ACB"/>
    <w:rsid w:val="00004FD2"/>
    <w:rsid w:val="000053C5"/>
    <w:rsid w:val="000131AF"/>
    <w:rsid w:val="00017B17"/>
    <w:rsid w:val="00020972"/>
    <w:rsid w:val="000247E6"/>
    <w:rsid w:val="00024893"/>
    <w:rsid w:val="00025363"/>
    <w:rsid w:val="000309AF"/>
    <w:rsid w:val="000311ED"/>
    <w:rsid w:val="00031F7B"/>
    <w:rsid w:val="00032158"/>
    <w:rsid w:val="000356FC"/>
    <w:rsid w:val="00036BBD"/>
    <w:rsid w:val="00037B16"/>
    <w:rsid w:val="00040B87"/>
    <w:rsid w:val="00047EA4"/>
    <w:rsid w:val="00051E45"/>
    <w:rsid w:val="00055E8A"/>
    <w:rsid w:val="00057B76"/>
    <w:rsid w:val="00057D56"/>
    <w:rsid w:val="000673A0"/>
    <w:rsid w:val="00067419"/>
    <w:rsid w:val="00070069"/>
    <w:rsid w:val="00070CBB"/>
    <w:rsid w:val="0007569C"/>
    <w:rsid w:val="00082D09"/>
    <w:rsid w:val="0008607E"/>
    <w:rsid w:val="00087D95"/>
    <w:rsid w:val="00090BF1"/>
    <w:rsid w:val="00090C49"/>
    <w:rsid w:val="000925B2"/>
    <w:rsid w:val="00093E0E"/>
    <w:rsid w:val="000A2A5B"/>
    <w:rsid w:val="000A2B4E"/>
    <w:rsid w:val="000A3646"/>
    <w:rsid w:val="000B4AE2"/>
    <w:rsid w:val="000B4B17"/>
    <w:rsid w:val="000B52E1"/>
    <w:rsid w:val="000B6F2D"/>
    <w:rsid w:val="000C1142"/>
    <w:rsid w:val="000C61F4"/>
    <w:rsid w:val="000C757B"/>
    <w:rsid w:val="000D027D"/>
    <w:rsid w:val="000D082F"/>
    <w:rsid w:val="000D0DC8"/>
    <w:rsid w:val="000D2D15"/>
    <w:rsid w:val="000D301C"/>
    <w:rsid w:val="000D3B55"/>
    <w:rsid w:val="000D4B4B"/>
    <w:rsid w:val="000D5DCF"/>
    <w:rsid w:val="000E00BB"/>
    <w:rsid w:val="000E2EF1"/>
    <w:rsid w:val="000E34ED"/>
    <w:rsid w:val="000E4CA9"/>
    <w:rsid w:val="000E5756"/>
    <w:rsid w:val="000F1B4B"/>
    <w:rsid w:val="000F566F"/>
    <w:rsid w:val="000F6FDE"/>
    <w:rsid w:val="000F7625"/>
    <w:rsid w:val="000F7ED3"/>
    <w:rsid w:val="00102F94"/>
    <w:rsid w:val="00105C7C"/>
    <w:rsid w:val="00105EED"/>
    <w:rsid w:val="001078DE"/>
    <w:rsid w:val="0011247B"/>
    <w:rsid w:val="001129E9"/>
    <w:rsid w:val="001147C0"/>
    <w:rsid w:val="00114DE7"/>
    <w:rsid w:val="00116A03"/>
    <w:rsid w:val="001171A5"/>
    <w:rsid w:val="00117A1A"/>
    <w:rsid w:val="00117C4C"/>
    <w:rsid w:val="00120BEB"/>
    <w:rsid w:val="00123CF9"/>
    <w:rsid w:val="001248AD"/>
    <w:rsid w:val="001250F9"/>
    <w:rsid w:val="0013013E"/>
    <w:rsid w:val="001320F6"/>
    <w:rsid w:val="00132A14"/>
    <w:rsid w:val="00132FB9"/>
    <w:rsid w:val="001363CF"/>
    <w:rsid w:val="00140F54"/>
    <w:rsid w:val="00141C92"/>
    <w:rsid w:val="00141DC6"/>
    <w:rsid w:val="0014312C"/>
    <w:rsid w:val="001457E2"/>
    <w:rsid w:val="00153B49"/>
    <w:rsid w:val="00155879"/>
    <w:rsid w:val="001571F2"/>
    <w:rsid w:val="00160758"/>
    <w:rsid w:val="00160CBC"/>
    <w:rsid w:val="00163DDD"/>
    <w:rsid w:val="00166658"/>
    <w:rsid w:val="00170850"/>
    <w:rsid w:val="00170DEB"/>
    <w:rsid w:val="00172A62"/>
    <w:rsid w:val="00172E9E"/>
    <w:rsid w:val="00175619"/>
    <w:rsid w:val="00177337"/>
    <w:rsid w:val="00184C10"/>
    <w:rsid w:val="0019282C"/>
    <w:rsid w:val="001A351A"/>
    <w:rsid w:val="001A50B7"/>
    <w:rsid w:val="001B0247"/>
    <w:rsid w:val="001B40D9"/>
    <w:rsid w:val="001B4FCE"/>
    <w:rsid w:val="001B6AAC"/>
    <w:rsid w:val="001B795A"/>
    <w:rsid w:val="001B79EA"/>
    <w:rsid w:val="001C28D6"/>
    <w:rsid w:val="001C3DEE"/>
    <w:rsid w:val="001C55C4"/>
    <w:rsid w:val="001C5F1C"/>
    <w:rsid w:val="001C6F5C"/>
    <w:rsid w:val="001D13A6"/>
    <w:rsid w:val="001D73A3"/>
    <w:rsid w:val="001E2364"/>
    <w:rsid w:val="001E398A"/>
    <w:rsid w:val="001E3FBA"/>
    <w:rsid w:val="001F0A8C"/>
    <w:rsid w:val="001F1559"/>
    <w:rsid w:val="001F42D7"/>
    <w:rsid w:val="001F4D2D"/>
    <w:rsid w:val="001F6BE0"/>
    <w:rsid w:val="001F7AAD"/>
    <w:rsid w:val="00202765"/>
    <w:rsid w:val="00202BD2"/>
    <w:rsid w:val="00202E45"/>
    <w:rsid w:val="00204900"/>
    <w:rsid w:val="00205304"/>
    <w:rsid w:val="002057F4"/>
    <w:rsid w:val="0020719D"/>
    <w:rsid w:val="00210CDB"/>
    <w:rsid w:val="002147A9"/>
    <w:rsid w:val="002168F5"/>
    <w:rsid w:val="00216A60"/>
    <w:rsid w:val="002173D9"/>
    <w:rsid w:val="00217A92"/>
    <w:rsid w:val="002224E9"/>
    <w:rsid w:val="00224C03"/>
    <w:rsid w:val="002254B8"/>
    <w:rsid w:val="00227095"/>
    <w:rsid w:val="00231014"/>
    <w:rsid w:val="002327CB"/>
    <w:rsid w:val="0023367C"/>
    <w:rsid w:val="0023470C"/>
    <w:rsid w:val="00236A3C"/>
    <w:rsid w:val="00237194"/>
    <w:rsid w:val="002414F3"/>
    <w:rsid w:val="002414F6"/>
    <w:rsid w:val="00241D44"/>
    <w:rsid w:val="00243DE7"/>
    <w:rsid w:val="00244107"/>
    <w:rsid w:val="00245E9D"/>
    <w:rsid w:val="00252082"/>
    <w:rsid w:val="00255842"/>
    <w:rsid w:val="00256BD4"/>
    <w:rsid w:val="0025701D"/>
    <w:rsid w:val="00265723"/>
    <w:rsid w:val="002675C6"/>
    <w:rsid w:val="00270546"/>
    <w:rsid w:val="00272985"/>
    <w:rsid w:val="00273A8B"/>
    <w:rsid w:val="00274080"/>
    <w:rsid w:val="00274468"/>
    <w:rsid w:val="00286745"/>
    <w:rsid w:val="00287ADB"/>
    <w:rsid w:val="002900A3"/>
    <w:rsid w:val="00293825"/>
    <w:rsid w:val="002968FF"/>
    <w:rsid w:val="002A00E0"/>
    <w:rsid w:val="002A0BF6"/>
    <w:rsid w:val="002A2822"/>
    <w:rsid w:val="002A4072"/>
    <w:rsid w:val="002A4A11"/>
    <w:rsid w:val="002B05A6"/>
    <w:rsid w:val="002B36D0"/>
    <w:rsid w:val="002B544B"/>
    <w:rsid w:val="002B58C5"/>
    <w:rsid w:val="002B6D58"/>
    <w:rsid w:val="002C08A5"/>
    <w:rsid w:val="002C2665"/>
    <w:rsid w:val="002D2713"/>
    <w:rsid w:val="002D2AF7"/>
    <w:rsid w:val="002D73EF"/>
    <w:rsid w:val="002E0169"/>
    <w:rsid w:val="002E30E3"/>
    <w:rsid w:val="002E469B"/>
    <w:rsid w:val="002E544B"/>
    <w:rsid w:val="002E7336"/>
    <w:rsid w:val="002E7AA9"/>
    <w:rsid w:val="002F0198"/>
    <w:rsid w:val="002F19B1"/>
    <w:rsid w:val="002F1ADD"/>
    <w:rsid w:val="003001E1"/>
    <w:rsid w:val="00300BE4"/>
    <w:rsid w:val="00301865"/>
    <w:rsid w:val="00302157"/>
    <w:rsid w:val="00302294"/>
    <w:rsid w:val="0030399D"/>
    <w:rsid w:val="00304AFC"/>
    <w:rsid w:val="003059F7"/>
    <w:rsid w:val="003104A8"/>
    <w:rsid w:val="00310A3C"/>
    <w:rsid w:val="003112E1"/>
    <w:rsid w:val="0031162F"/>
    <w:rsid w:val="00312838"/>
    <w:rsid w:val="00312E96"/>
    <w:rsid w:val="00312F13"/>
    <w:rsid w:val="003139B3"/>
    <w:rsid w:val="00313F50"/>
    <w:rsid w:val="00321B09"/>
    <w:rsid w:val="003246E7"/>
    <w:rsid w:val="0032640C"/>
    <w:rsid w:val="0032753D"/>
    <w:rsid w:val="00333E7F"/>
    <w:rsid w:val="003344C8"/>
    <w:rsid w:val="0033491B"/>
    <w:rsid w:val="003361BF"/>
    <w:rsid w:val="0033709A"/>
    <w:rsid w:val="00337D37"/>
    <w:rsid w:val="00341A75"/>
    <w:rsid w:val="00346C04"/>
    <w:rsid w:val="00350C81"/>
    <w:rsid w:val="00353BAA"/>
    <w:rsid w:val="003545B9"/>
    <w:rsid w:val="0035668F"/>
    <w:rsid w:val="003570F9"/>
    <w:rsid w:val="00357556"/>
    <w:rsid w:val="00357DD2"/>
    <w:rsid w:val="00360AEF"/>
    <w:rsid w:val="00360F14"/>
    <w:rsid w:val="0036103C"/>
    <w:rsid w:val="00361E8F"/>
    <w:rsid w:val="0036291E"/>
    <w:rsid w:val="00362F27"/>
    <w:rsid w:val="0036399D"/>
    <w:rsid w:val="003656E9"/>
    <w:rsid w:val="00367815"/>
    <w:rsid w:val="00367CF1"/>
    <w:rsid w:val="003705E7"/>
    <w:rsid w:val="0037292B"/>
    <w:rsid w:val="00372F2B"/>
    <w:rsid w:val="00373364"/>
    <w:rsid w:val="003765E6"/>
    <w:rsid w:val="0037797F"/>
    <w:rsid w:val="00381B26"/>
    <w:rsid w:val="00381F43"/>
    <w:rsid w:val="00382645"/>
    <w:rsid w:val="003826AD"/>
    <w:rsid w:val="00390C72"/>
    <w:rsid w:val="0039127E"/>
    <w:rsid w:val="003932EC"/>
    <w:rsid w:val="003937DD"/>
    <w:rsid w:val="0039511A"/>
    <w:rsid w:val="00395FA8"/>
    <w:rsid w:val="0039616B"/>
    <w:rsid w:val="00396E9E"/>
    <w:rsid w:val="00397A4F"/>
    <w:rsid w:val="003A019B"/>
    <w:rsid w:val="003A218A"/>
    <w:rsid w:val="003A312D"/>
    <w:rsid w:val="003A5DFB"/>
    <w:rsid w:val="003A64A7"/>
    <w:rsid w:val="003B2924"/>
    <w:rsid w:val="003B4624"/>
    <w:rsid w:val="003C1E8D"/>
    <w:rsid w:val="003C2047"/>
    <w:rsid w:val="003C47F8"/>
    <w:rsid w:val="003D1B61"/>
    <w:rsid w:val="003D62A2"/>
    <w:rsid w:val="003D63F0"/>
    <w:rsid w:val="003E26D8"/>
    <w:rsid w:val="003E39D1"/>
    <w:rsid w:val="003E61DA"/>
    <w:rsid w:val="003E6DCD"/>
    <w:rsid w:val="003E70A1"/>
    <w:rsid w:val="003F0E8E"/>
    <w:rsid w:val="003F2B52"/>
    <w:rsid w:val="003F3C1B"/>
    <w:rsid w:val="004069AE"/>
    <w:rsid w:val="0041046A"/>
    <w:rsid w:val="00412F5E"/>
    <w:rsid w:val="00413691"/>
    <w:rsid w:val="00416D36"/>
    <w:rsid w:val="00417B0E"/>
    <w:rsid w:val="00420574"/>
    <w:rsid w:val="0042170D"/>
    <w:rsid w:val="0042454B"/>
    <w:rsid w:val="00425A44"/>
    <w:rsid w:val="00426C7C"/>
    <w:rsid w:val="004352A2"/>
    <w:rsid w:val="00436F80"/>
    <w:rsid w:val="00440430"/>
    <w:rsid w:val="00440D06"/>
    <w:rsid w:val="0044286C"/>
    <w:rsid w:val="004505E6"/>
    <w:rsid w:val="00454872"/>
    <w:rsid w:val="00454FF9"/>
    <w:rsid w:val="00455FC6"/>
    <w:rsid w:val="004628A5"/>
    <w:rsid w:val="00465783"/>
    <w:rsid w:val="004673E9"/>
    <w:rsid w:val="00467FD6"/>
    <w:rsid w:val="004712D5"/>
    <w:rsid w:val="00471BD1"/>
    <w:rsid w:val="004733A7"/>
    <w:rsid w:val="00474E9E"/>
    <w:rsid w:val="00474ED8"/>
    <w:rsid w:val="00475924"/>
    <w:rsid w:val="00475D91"/>
    <w:rsid w:val="00483E76"/>
    <w:rsid w:val="00483EB6"/>
    <w:rsid w:val="004849F9"/>
    <w:rsid w:val="00485640"/>
    <w:rsid w:val="00485D09"/>
    <w:rsid w:val="0048637C"/>
    <w:rsid w:val="00487A26"/>
    <w:rsid w:val="00490D24"/>
    <w:rsid w:val="00496D39"/>
    <w:rsid w:val="004977CD"/>
    <w:rsid w:val="004A1831"/>
    <w:rsid w:val="004A1ECB"/>
    <w:rsid w:val="004A2069"/>
    <w:rsid w:val="004B4237"/>
    <w:rsid w:val="004B5D66"/>
    <w:rsid w:val="004B7B93"/>
    <w:rsid w:val="004C02A2"/>
    <w:rsid w:val="004D110B"/>
    <w:rsid w:val="004D2FBC"/>
    <w:rsid w:val="004D3E22"/>
    <w:rsid w:val="004D4669"/>
    <w:rsid w:val="004E227E"/>
    <w:rsid w:val="004E664E"/>
    <w:rsid w:val="004E789C"/>
    <w:rsid w:val="004F0536"/>
    <w:rsid w:val="004F0668"/>
    <w:rsid w:val="004F0F8F"/>
    <w:rsid w:val="004F5384"/>
    <w:rsid w:val="00504784"/>
    <w:rsid w:val="00504F9D"/>
    <w:rsid w:val="005067BD"/>
    <w:rsid w:val="005126EB"/>
    <w:rsid w:val="005138F8"/>
    <w:rsid w:val="005143E8"/>
    <w:rsid w:val="005159BF"/>
    <w:rsid w:val="00522489"/>
    <w:rsid w:val="00523416"/>
    <w:rsid w:val="00524845"/>
    <w:rsid w:val="00524926"/>
    <w:rsid w:val="0052635E"/>
    <w:rsid w:val="00526ECB"/>
    <w:rsid w:val="00530064"/>
    <w:rsid w:val="00530857"/>
    <w:rsid w:val="00533335"/>
    <w:rsid w:val="00533540"/>
    <w:rsid w:val="00533A64"/>
    <w:rsid w:val="00534F09"/>
    <w:rsid w:val="00536725"/>
    <w:rsid w:val="0053680A"/>
    <w:rsid w:val="0054094A"/>
    <w:rsid w:val="005414FE"/>
    <w:rsid w:val="00542087"/>
    <w:rsid w:val="00543960"/>
    <w:rsid w:val="00544525"/>
    <w:rsid w:val="0054687D"/>
    <w:rsid w:val="00546AA6"/>
    <w:rsid w:val="005478D7"/>
    <w:rsid w:val="00553E53"/>
    <w:rsid w:val="005561F6"/>
    <w:rsid w:val="00556BD9"/>
    <w:rsid w:val="00557A35"/>
    <w:rsid w:val="00561887"/>
    <w:rsid w:val="00566584"/>
    <w:rsid w:val="005667BB"/>
    <w:rsid w:val="005668DA"/>
    <w:rsid w:val="005668E7"/>
    <w:rsid w:val="005671F9"/>
    <w:rsid w:val="0057190F"/>
    <w:rsid w:val="00572611"/>
    <w:rsid w:val="00576BF0"/>
    <w:rsid w:val="00584C51"/>
    <w:rsid w:val="00590AE8"/>
    <w:rsid w:val="00592C27"/>
    <w:rsid w:val="00597BBA"/>
    <w:rsid w:val="005A1F19"/>
    <w:rsid w:val="005A4511"/>
    <w:rsid w:val="005B1801"/>
    <w:rsid w:val="005B1D50"/>
    <w:rsid w:val="005B4266"/>
    <w:rsid w:val="005C022B"/>
    <w:rsid w:val="005C0905"/>
    <w:rsid w:val="005C099B"/>
    <w:rsid w:val="005C1AB5"/>
    <w:rsid w:val="005C2D1E"/>
    <w:rsid w:val="005C324F"/>
    <w:rsid w:val="005C58B1"/>
    <w:rsid w:val="005C67D3"/>
    <w:rsid w:val="005C7508"/>
    <w:rsid w:val="005D384D"/>
    <w:rsid w:val="005D4CDB"/>
    <w:rsid w:val="005E36E1"/>
    <w:rsid w:val="005F3EF6"/>
    <w:rsid w:val="005F54B1"/>
    <w:rsid w:val="005F7773"/>
    <w:rsid w:val="006028A7"/>
    <w:rsid w:val="0060440C"/>
    <w:rsid w:val="00605CEA"/>
    <w:rsid w:val="00607F2B"/>
    <w:rsid w:val="0061071C"/>
    <w:rsid w:val="006119CA"/>
    <w:rsid w:val="00612E3B"/>
    <w:rsid w:val="006223FE"/>
    <w:rsid w:val="006233E9"/>
    <w:rsid w:val="0062353E"/>
    <w:rsid w:val="00624683"/>
    <w:rsid w:val="006256B0"/>
    <w:rsid w:val="006319B2"/>
    <w:rsid w:val="00634868"/>
    <w:rsid w:val="006350CF"/>
    <w:rsid w:val="0064055C"/>
    <w:rsid w:val="00640731"/>
    <w:rsid w:val="00640883"/>
    <w:rsid w:val="00642A94"/>
    <w:rsid w:val="006456D6"/>
    <w:rsid w:val="006532B0"/>
    <w:rsid w:val="00660A4B"/>
    <w:rsid w:val="0066425F"/>
    <w:rsid w:val="00665380"/>
    <w:rsid w:val="00670844"/>
    <w:rsid w:val="006726F3"/>
    <w:rsid w:val="00675CA7"/>
    <w:rsid w:val="00676FDC"/>
    <w:rsid w:val="0067713E"/>
    <w:rsid w:val="00681DB7"/>
    <w:rsid w:val="00685077"/>
    <w:rsid w:val="0068765E"/>
    <w:rsid w:val="00695295"/>
    <w:rsid w:val="006954F1"/>
    <w:rsid w:val="00697D37"/>
    <w:rsid w:val="006A2979"/>
    <w:rsid w:val="006A4DA7"/>
    <w:rsid w:val="006A5BAB"/>
    <w:rsid w:val="006B3A01"/>
    <w:rsid w:val="006B4768"/>
    <w:rsid w:val="006C0CC2"/>
    <w:rsid w:val="006C39AB"/>
    <w:rsid w:val="006D18C6"/>
    <w:rsid w:val="006D1FE7"/>
    <w:rsid w:val="006D478A"/>
    <w:rsid w:val="006D56F4"/>
    <w:rsid w:val="006E11A0"/>
    <w:rsid w:val="006E2387"/>
    <w:rsid w:val="006E3EAF"/>
    <w:rsid w:val="006E4868"/>
    <w:rsid w:val="006E4EAB"/>
    <w:rsid w:val="006E7CFC"/>
    <w:rsid w:val="006F14A1"/>
    <w:rsid w:val="0070200F"/>
    <w:rsid w:val="00706349"/>
    <w:rsid w:val="00714C55"/>
    <w:rsid w:val="0071596D"/>
    <w:rsid w:val="007217B5"/>
    <w:rsid w:val="00722E62"/>
    <w:rsid w:val="00724A49"/>
    <w:rsid w:val="00725278"/>
    <w:rsid w:val="00725E0E"/>
    <w:rsid w:val="00727720"/>
    <w:rsid w:val="00727CE0"/>
    <w:rsid w:val="00727F7C"/>
    <w:rsid w:val="00731939"/>
    <w:rsid w:val="00732294"/>
    <w:rsid w:val="00733412"/>
    <w:rsid w:val="00733DAF"/>
    <w:rsid w:val="0073739D"/>
    <w:rsid w:val="00740B20"/>
    <w:rsid w:val="00742C04"/>
    <w:rsid w:val="00743316"/>
    <w:rsid w:val="00746A53"/>
    <w:rsid w:val="0074719E"/>
    <w:rsid w:val="00747744"/>
    <w:rsid w:val="007528B9"/>
    <w:rsid w:val="007554EB"/>
    <w:rsid w:val="0075649C"/>
    <w:rsid w:val="00757AC4"/>
    <w:rsid w:val="00765674"/>
    <w:rsid w:val="00774E05"/>
    <w:rsid w:val="00775424"/>
    <w:rsid w:val="00775892"/>
    <w:rsid w:val="007772FA"/>
    <w:rsid w:val="007833FD"/>
    <w:rsid w:val="0078508A"/>
    <w:rsid w:val="00786167"/>
    <w:rsid w:val="00786C67"/>
    <w:rsid w:val="0079252F"/>
    <w:rsid w:val="0079351A"/>
    <w:rsid w:val="00794029"/>
    <w:rsid w:val="007969E2"/>
    <w:rsid w:val="007A0E22"/>
    <w:rsid w:val="007A17E2"/>
    <w:rsid w:val="007A2074"/>
    <w:rsid w:val="007A3CBD"/>
    <w:rsid w:val="007A44F4"/>
    <w:rsid w:val="007B482D"/>
    <w:rsid w:val="007B4ECE"/>
    <w:rsid w:val="007B5562"/>
    <w:rsid w:val="007B7667"/>
    <w:rsid w:val="007C5D38"/>
    <w:rsid w:val="007D13EE"/>
    <w:rsid w:val="007E334F"/>
    <w:rsid w:val="007E3F99"/>
    <w:rsid w:val="007E50F1"/>
    <w:rsid w:val="007E5DDE"/>
    <w:rsid w:val="007E6FAA"/>
    <w:rsid w:val="007F4636"/>
    <w:rsid w:val="007F4886"/>
    <w:rsid w:val="007F6E12"/>
    <w:rsid w:val="007F6F03"/>
    <w:rsid w:val="008009AF"/>
    <w:rsid w:val="0080470B"/>
    <w:rsid w:val="00806797"/>
    <w:rsid w:val="00806D34"/>
    <w:rsid w:val="00807D1A"/>
    <w:rsid w:val="008172F9"/>
    <w:rsid w:val="00820581"/>
    <w:rsid w:val="00822591"/>
    <w:rsid w:val="00823CCE"/>
    <w:rsid w:val="00830422"/>
    <w:rsid w:val="008308E2"/>
    <w:rsid w:val="00831FDA"/>
    <w:rsid w:val="0083228F"/>
    <w:rsid w:val="008433B8"/>
    <w:rsid w:val="008448E7"/>
    <w:rsid w:val="00847DCE"/>
    <w:rsid w:val="00850232"/>
    <w:rsid w:val="00851134"/>
    <w:rsid w:val="008517E4"/>
    <w:rsid w:val="00851994"/>
    <w:rsid w:val="00852658"/>
    <w:rsid w:val="00854423"/>
    <w:rsid w:val="008610AE"/>
    <w:rsid w:val="00861620"/>
    <w:rsid w:val="0086340F"/>
    <w:rsid w:val="008666B2"/>
    <w:rsid w:val="00872888"/>
    <w:rsid w:val="00874F3F"/>
    <w:rsid w:val="00881C40"/>
    <w:rsid w:val="00883F62"/>
    <w:rsid w:val="0088548A"/>
    <w:rsid w:val="00885B56"/>
    <w:rsid w:val="008918DB"/>
    <w:rsid w:val="0089216B"/>
    <w:rsid w:val="008946A4"/>
    <w:rsid w:val="00897E3E"/>
    <w:rsid w:val="008A0ABD"/>
    <w:rsid w:val="008A1371"/>
    <w:rsid w:val="008A1F10"/>
    <w:rsid w:val="008A288E"/>
    <w:rsid w:val="008A3696"/>
    <w:rsid w:val="008A4755"/>
    <w:rsid w:val="008A60C6"/>
    <w:rsid w:val="008A776B"/>
    <w:rsid w:val="008A7920"/>
    <w:rsid w:val="008B1FF7"/>
    <w:rsid w:val="008B4451"/>
    <w:rsid w:val="008B49A3"/>
    <w:rsid w:val="008B6391"/>
    <w:rsid w:val="008B7EBF"/>
    <w:rsid w:val="008C0B0A"/>
    <w:rsid w:val="008C0F41"/>
    <w:rsid w:val="008C20E2"/>
    <w:rsid w:val="008C4F55"/>
    <w:rsid w:val="008C51CB"/>
    <w:rsid w:val="008E2C39"/>
    <w:rsid w:val="008E3548"/>
    <w:rsid w:val="008E47BA"/>
    <w:rsid w:val="008E7D3D"/>
    <w:rsid w:val="008F0859"/>
    <w:rsid w:val="008F0EBF"/>
    <w:rsid w:val="008F51F7"/>
    <w:rsid w:val="008F5B40"/>
    <w:rsid w:val="00901B03"/>
    <w:rsid w:val="00901B7F"/>
    <w:rsid w:val="0090411F"/>
    <w:rsid w:val="009049C6"/>
    <w:rsid w:val="00905F46"/>
    <w:rsid w:val="0091195C"/>
    <w:rsid w:val="00911C9D"/>
    <w:rsid w:val="00912FBF"/>
    <w:rsid w:val="00913B15"/>
    <w:rsid w:val="00913EF0"/>
    <w:rsid w:val="009153DC"/>
    <w:rsid w:val="00915630"/>
    <w:rsid w:val="0091763C"/>
    <w:rsid w:val="00925994"/>
    <w:rsid w:val="0092631A"/>
    <w:rsid w:val="00931206"/>
    <w:rsid w:val="00931E30"/>
    <w:rsid w:val="0093248A"/>
    <w:rsid w:val="00933C54"/>
    <w:rsid w:val="009341D1"/>
    <w:rsid w:val="00940675"/>
    <w:rsid w:val="009408CC"/>
    <w:rsid w:val="009415CE"/>
    <w:rsid w:val="00942157"/>
    <w:rsid w:val="00943A82"/>
    <w:rsid w:val="00944BF3"/>
    <w:rsid w:val="00945981"/>
    <w:rsid w:val="00951065"/>
    <w:rsid w:val="009516AA"/>
    <w:rsid w:val="00952F9B"/>
    <w:rsid w:val="0095325C"/>
    <w:rsid w:val="009539C1"/>
    <w:rsid w:val="00960AF2"/>
    <w:rsid w:val="00960EB9"/>
    <w:rsid w:val="00965ABA"/>
    <w:rsid w:val="00966857"/>
    <w:rsid w:val="00967C95"/>
    <w:rsid w:val="0097063B"/>
    <w:rsid w:val="0097398F"/>
    <w:rsid w:val="0098473B"/>
    <w:rsid w:val="00984B14"/>
    <w:rsid w:val="009856C5"/>
    <w:rsid w:val="0098685E"/>
    <w:rsid w:val="00986E38"/>
    <w:rsid w:val="009A3240"/>
    <w:rsid w:val="009A5E56"/>
    <w:rsid w:val="009A66B3"/>
    <w:rsid w:val="009A682F"/>
    <w:rsid w:val="009B169F"/>
    <w:rsid w:val="009B2356"/>
    <w:rsid w:val="009B6A55"/>
    <w:rsid w:val="009B7429"/>
    <w:rsid w:val="009B7985"/>
    <w:rsid w:val="009C6C56"/>
    <w:rsid w:val="009D2368"/>
    <w:rsid w:val="009D7C20"/>
    <w:rsid w:val="009E1D00"/>
    <w:rsid w:val="009F3EEE"/>
    <w:rsid w:val="009F46A4"/>
    <w:rsid w:val="00A019B8"/>
    <w:rsid w:val="00A01AE8"/>
    <w:rsid w:val="00A01B42"/>
    <w:rsid w:val="00A02148"/>
    <w:rsid w:val="00A0266D"/>
    <w:rsid w:val="00A03BE0"/>
    <w:rsid w:val="00A0461A"/>
    <w:rsid w:val="00A051AD"/>
    <w:rsid w:val="00A06CCB"/>
    <w:rsid w:val="00A12A18"/>
    <w:rsid w:val="00A133BB"/>
    <w:rsid w:val="00A136E3"/>
    <w:rsid w:val="00A16FD0"/>
    <w:rsid w:val="00A206D6"/>
    <w:rsid w:val="00A2191B"/>
    <w:rsid w:val="00A23234"/>
    <w:rsid w:val="00A26136"/>
    <w:rsid w:val="00A263DE"/>
    <w:rsid w:val="00A264D7"/>
    <w:rsid w:val="00A30691"/>
    <w:rsid w:val="00A308AE"/>
    <w:rsid w:val="00A31F55"/>
    <w:rsid w:val="00A31F77"/>
    <w:rsid w:val="00A32389"/>
    <w:rsid w:val="00A338B6"/>
    <w:rsid w:val="00A3429D"/>
    <w:rsid w:val="00A36EB9"/>
    <w:rsid w:val="00A375AA"/>
    <w:rsid w:val="00A375C3"/>
    <w:rsid w:val="00A4075A"/>
    <w:rsid w:val="00A41AA8"/>
    <w:rsid w:val="00A44297"/>
    <w:rsid w:val="00A4600A"/>
    <w:rsid w:val="00A46C4C"/>
    <w:rsid w:val="00A53ED4"/>
    <w:rsid w:val="00A558E0"/>
    <w:rsid w:val="00A5705A"/>
    <w:rsid w:val="00A57183"/>
    <w:rsid w:val="00A634FD"/>
    <w:rsid w:val="00A673F8"/>
    <w:rsid w:val="00A67ADE"/>
    <w:rsid w:val="00A70E08"/>
    <w:rsid w:val="00A72BF5"/>
    <w:rsid w:val="00A7752F"/>
    <w:rsid w:val="00A77DCA"/>
    <w:rsid w:val="00A77E6A"/>
    <w:rsid w:val="00A82293"/>
    <w:rsid w:val="00A84A96"/>
    <w:rsid w:val="00A8513C"/>
    <w:rsid w:val="00A85AA2"/>
    <w:rsid w:val="00A86CC7"/>
    <w:rsid w:val="00A87007"/>
    <w:rsid w:val="00A9001C"/>
    <w:rsid w:val="00A90FB6"/>
    <w:rsid w:val="00A91A76"/>
    <w:rsid w:val="00A94194"/>
    <w:rsid w:val="00A970D6"/>
    <w:rsid w:val="00AA0C4F"/>
    <w:rsid w:val="00AA105E"/>
    <w:rsid w:val="00AA224E"/>
    <w:rsid w:val="00AA3EB9"/>
    <w:rsid w:val="00AA5991"/>
    <w:rsid w:val="00AA71BF"/>
    <w:rsid w:val="00AB18DB"/>
    <w:rsid w:val="00AB36AB"/>
    <w:rsid w:val="00AB5623"/>
    <w:rsid w:val="00AB5990"/>
    <w:rsid w:val="00AC14A9"/>
    <w:rsid w:val="00AC28C8"/>
    <w:rsid w:val="00AC4605"/>
    <w:rsid w:val="00AC5AA1"/>
    <w:rsid w:val="00AD1402"/>
    <w:rsid w:val="00AD2359"/>
    <w:rsid w:val="00AD2583"/>
    <w:rsid w:val="00AD2BC1"/>
    <w:rsid w:val="00AE05A3"/>
    <w:rsid w:val="00AE0906"/>
    <w:rsid w:val="00AE0971"/>
    <w:rsid w:val="00AE1659"/>
    <w:rsid w:val="00AE2D67"/>
    <w:rsid w:val="00AE3724"/>
    <w:rsid w:val="00AE382A"/>
    <w:rsid w:val="00AE4763"/>
    <w:rsid w:val="00AE488B"/>
    <w:rsid w:val="00AE4F82"/>
    <w:rsid w:val="00AE56BA"/>
    <w:rsid w:val="00AE5D97"/>
    <w:rsid w:val="00AE68E0"/>
    <w:rsid w:val="00AE70F2"/>
    <w:rsid w:val="00AE7676"/>
    <w:rsid w:val="00AF0939"/>
    <w:rsid w:val="00AF0B39"/>
    <w:rsid w:val="00AF1EBA"/>
    <w:rsid w:val="00AF57AA"/>
    <w:rsid w:val="00AF7229"/>
    <w:rsid w:val="00AF7EEE"/>
    <w:rsid w:val="00B00B67"/>
    <w:rsid w:val="00B01159"/>
    <w:rsid w:val="00B01A38"/>
    <w:rsid w:val="00B03D8F"/>
    <w:rsid w:val="00B04197"/>
    <w:rsid w:val="00B067C0"/>
    <w:rsid w:val="00B06881"/>
    <w:rsid w:val="00B10748"/>
    <w:rsid w:val="00B12553"/>
    <w:rsid w:val="00B13175"/>
    <w:rsid w:val="00B159F7"/>
    <w:rsid w:val="00B1689B"/>
    <w:rsid w:val="00B168D3"/>
    <w:rsid w:val="00B17AF6"/>
    <w:rsid w:val="00B21B1F"/>
    <w:rsid w:val="00B232F1"/>
    <w:rsid w:val="00B2330A"/>
    <w:rsid w:val="00B252CE"/>
    <w:rsid w:val="00B25B13"/>
    <w:rsid w:val="00B31431"/>
    <w:rsid w:val="00B358AD"/>
    <w:rsid w:val="00B35CBC"/>
    <w:rsid w:val="00B36392"/>
    <w:rsid w:val="00B37538"/>
    <w:rsid w:val="00B408AB"/>
    <w:rsid w:val="00B41F70"/>
    <w:rsid w:val="00B424CE"/>
    <w:rsid w:val="00B45A58"/>
    <w:rsid w:val="00B469CD"/>
    <w:rsid w:val="00B46AB8"/>
    <w:rsid w:val="00B512D4"/>
    <w:rsid w:val="00B516A5"/>
    <w:rsid w:val="00B546DB"/>
    <w:rsid w:val="00B546FB"/>
    <w:rsid w:val="00B56025"/>
    <w:rsid w:val="00B57535"/>
    <w:rsid w:val="00B60AE5"/>
    <w:rsid w:val="00B631A0"/>
    <w:rsid w:val="00B76F65"/>
    <w:rsid w:val="00B77369"/>
    <w:rsid w:val="00B801DC"/>
    <w:rsid w:val="00B812E5"/>
    <w:rsid w:val="00B82DE5"/>
    <w:rsid w:val="00B85C0F"/>
    <w:rsid w:val="00B85DF0"/>
    <w:rsid w:val="00B876D7"/>
    <w:rsid w:val="00B92662"/>
    <w:rsid w:val="00B927F3"/>
    <w:rsid w:val="00B94809"/>
    <w:rsid w:val="00B9639A"/>
    <w:rsid w:val="00B9785A"/>
    <w:rsid w:val="00BA1287"/>
    <w:rsid w:val="00BA2465"/>
    <w:rsid w:val="00BA3A46"/>
    <w:rsid w:val="00BA6ADF"/>
    <w:rsid w:val="00BA6C50"/>
    <w:rsid w:val="00BB268F"/>
    <w:rsid w:val="00BB4BD9"/>
    <w:rsid w:val="00BB4F21"/>
    <w:rsid w:val="00BC2B6B"/>
    <w:rsid w:val="00BC5B78"/>
    <w:rsid w:val="00BC673C"/>
    <w:rsid w:val="00BC6A29"/>
    <w:rsid w:val="00BC74E7"/>
    <w:rsid w:val="00BD056A"/>
    <w:rsid w:val="00BD2222"/>
    <w:rsid w:val="00BD2EA6"/>
    <w:rsid w:val="00BD4483"/>
    <w:rsid w:val="00BD66ED"/>
    <w:rsid w:val="00BD7D00"/>
    <w:rsid w:val="00BE3A11"/>
    <w:rsid w:val="00BE4597"/>
    <w:rsid w:val="00BE65EF"/>
    <w:rsid w:val="00BF397A"/>
    <w:rsid w:val="00BF42F0"/>
    <w:rsid w:val="00BF6801"/>
    <w:rsid w:val="00C0285D"/>
    <w:rsid w:val="00C043EE"/>
    <w:rsid w:val="00C0440F"/>
    <w:rsid w:val="00C06CF0"/>
    <w:rsid w:val="00C1009E"/>
    <w:rsid w:val="00C11661"/>
    <w:rsid w:val="00C116B3"/>
    <w:rsid w:val="00C13052"/>
    <w:rsid w:val="00C204CB"/>
    <w:rsid w:val="00C21F2C"/>
    <w:rsid w:val="00C2237E"/>
    <w:rsid w:val="00C23050"/>
    <w:rsid w:val="00C240C7"/>
    <w:rsid w:val="00C33EBF"/>
    <w:rsid w:val="00C34647"/>
    <w:rsid w:val="00C362B2"/>
    <w:rsid w:val="00C4020E"/>
    <w:rsid w:val="00C40271"/>
    <w:rsid w:val="00C40CEE"/>
    <w:rsid w:val="00C471DE"/>
    <w:rsid w:val="00C4755C"/>
    <w:rsid w:val="00C5428C"/>
    <w:rsid w:val="00C547A8"/>
    <w:rsid w:val="00C54BED"/>
    <w:rsid w:val="00C566A0"/>
    <w:rsid w:val="00C56B90"/>
    <w:rsid w:val="00C60F73"/>
    <w:rsid w:val="00C6285D"/>
    <w:rsid w:val="00C647D5"/>
    <w:rsid w:val="00C66B02"/>
    <w:rsid w:val="00C67F7B"/>
    <w:rsid w:val="00C70A2C"/>
    <w:rsid w:val="00C72B40"/>
    <w:rsid w:val="00C74B93"/>
    <w:rsid w:val="00C74C5E"/>
    <w:rsid w:val="00C74F7F"/>
    <w:rsid w:val="00C76A21"/>
    <w:rsid w:val="00C80BBA"/>
    <w:rsid w:val="00C82284"/>
    <w:rsid w:val="00C83061"/>
    <w:rsid w:val="00C84542"/>
    <w:rsid w:val="00C876D2"/>
    <w:rsid w:val="00C91704"/>
    <w:rsid w:val="00CA19FC"/>
    <w:rsid w:val="00CA2176"/>
    <w:rsid w:val="00CA6E79"/>
    <w:rsid w:val="00CB0F8D"/>
    <w:rsid w:val="00CB23C2"/>
    <w:rsid w:val="00CB439E"/>
    <w:rsid w:val="00CB4DDE"/>
    <w:rsid w:val="00CB6D83"/>
    <w:rsid w:val="00CB7332"/>
    <w:rsid w:val="00CC000E"/>
    <w:rsid w:val="00CC04C8"/>
    <w:rsid w:val="00CC44D7"/>
    <w:rsid w:val="00CC486B"/>
    <w:rsid w:val="00CC586B"/>
    <w:rsid w:val="00CC60D9"/>
    <w:rsid w:val="00CC6784"/>
    <w:rsid w:val="00CC6FE4"/>
    <w:rsid w:val="00CD35BD"/>
    <w:rsid w:val="00CD4FD1"/>
    <w:rsid w:val="00CD5E78"/>
    <w:rsid w:val="00CD5F33"/>
    <w:rsid w:val="00CD7029"/>
    <w:rsid w:val="00CE1088"/>
    <w:rsid w:val="00CF55CD"/>
    <w:rsid w:val="00CF6012"/>
    <w:rsid w:val="00CF7122"/>
    <w:rsid w:val="00CF7298"/>
    <w:rsid w:val="00D0327C"/>
    <w:rsid w:val="00D03723"/>
    <w:rsid w:val="00D03D65"/>
    <w:rsid w:val="00D059A9"/>
    <w:rsid w:val="00D33EDF"/>
    <w:rsid w:val="00D35425"/>
    <w:rsid w:val="00D35684"/>
    <w:rsid w:val="00D36518"/>
    <w:rsid w:val="00D3751A"/>
    <w:rsid w:val="00D42407"/>
    <w:rsid w:val="00D45B22"/>
    <w:rsid w:val="00D47085"/>
    <w:rsid w:val="00D50604"/>
    <w:rsid w:val="00D50862"/>
    <w:rsid w:val="00D51941"/>
    <w:rsid w:val="00D52DA1"/>
    <w:rsid w:val="00D5699F"/>
    <w:rsid w:val="00D63522"/>
    <w:rsid w:val="00D73415"/>
    <w:rsid w:val="00D749CE"/>
    <w:rsid w:val="00D81DFA"/>
    <w:rsid w:val="00D84FAE"/>
    <w:rsid w:val="00D8537D"/>
    <w:rsid w:val="00D97A87"/>
    <w:rsid w:val="00D97D0C"/>
    <w:rsid w:val="00DA25C2"/>
    <w:rsid w:val="00DA26B7"/>
    <w:rsid w:val="00DA52FC"/>
    <w:rsid w:val="00DA53B0"/>
    <w:rsid w:val="00DB1A0B"/>
    <w:rsid w:val="00DB32CD"/>
    <w:rsid w:val="00DB44B8"/>
    <w:rsid w:val="00DB59D8"/>
    <w:rsid w:val="00DB6178"/>
    <w:rsid w:val="00DC01CE"/>
    <w:rsid w:val="00DC091C"/>
    <w:rsid w:val="00DC0C4F"/>
    <w:rsid w:val="00DC0DE9"/>
    <w:rsid w:val="00DC1124"/>
    <w:rsid w:val="00DC2A9A"/>
    <w:rsid w:val="00DC34CE"/>
    <w:rsid w:val="00DC383D"/>
    <w:rsid w:val="00DC4284"/>
    <w:rsid w:val="00DC4C29"/>
    <w:rsid w:val="00DC6626"/>
    <w:rsid w:val="00DC7110"/>
    <w:rsid w:val="00DC7E4A"/>
    <w:rsid w:val="00DD0EDC"/>
    <w:rsid w:val="00DD177A"/>
    <w:rsid w:val="00DD2375"/>
    <w:rsid w:val="00DE693E"/>
    <w:rsid w:val="00DE749A"/>
    <w:rsid w:val="00DE7D8D"/>
    <w:rsid w:val="00DF05C4"/>
    <w:rsid w:val="00DF09BD"/>
    <w:rsid w:val="00DF3EC9"/>
    <w:rsid w:val="00DF493B"/>
    <w:rsid w:val="00DF634D"/>
    <w:rsid w:val="00DF7CCF"/>
    <w:rsid w:val="00E015BB"/>
    <w:rsid w:val="00E04BD7"/>
    <w:rsid w:val="00E04E41"/>
    <w:rsid w:val="00E06460"/>
    <w:rsid w:val="00E100ED"/>
    <w:rsid w:val="00E12902"/>
    <w:rsid w:val="00E171D1"/>
    <w:rsid w:val="00E17551"/>
    <w:rsid w:val="00E221BA"/>
    <w:rsid w:val="00E22E5D"/>
    <w:rsid w:val="00E233E0"/>
    <w:rsid w:val="00E25330"/>
    <w:rsid w:val="00E270DB"/>
    <w:rsid w:val="00E278A7"/>
    <w:rsid w:val="00E306AA"/>
    <w:rsid w:val="00E320BB"/>
    <w:rsid w:val="00E3548F"/>
    <w:rsid w:val="00E45CBB"/>
    <w:rsid w:val="00E460CE"/>
    <w:rsid w:val="00E4670B"/>
    <w:rsid w:val="00E54731"/>
    <w:rsid w:val="00E55ABA"/>
    <w:rsid w:val="00E56CE1"/>
    <w:rsid w:val="00E60495"/>
    <w:rsid w:val="00E61681"/>
    <w:rsid w:val="00E61F95"/>
    <w:rsid w:val="00E659E0"/>
    <w:rsid w:val="00E669C0"/>
    <w:rsid w:val="00E66BF0"/>
    <w:rsid w:val="00E70C88"/>
    <w:rsid w:val="00E7313C"/>
    <w:rsid w:val="00E75479"/>
    <w:rsid w:val="00E760F6"/>
    <w:rsid w:val="00E77BFD"/>
    <w:rsid w:val="00E77EE8"/>
    <w:rsid w:val="00E77F3C"/>
    <w:rsid w:val="00E77FAA"/>
    <w:rsid w:val="00E803BA"/>
    <w:rsid w:val="00E83878"/>
    <w:rsid w:val="00E9192E"/>
    <w:rsid w:val="00E9198F"/>
    <w:rsid w:val="00E91A41"/>
    <w:rsid w:val="00E94009"/>
    <w:rsid w:val="00E969A3"/>
    <w:rsid w:val="00EA1DD7"/>
    <w:rsid w:val="00EA312B"/>
    <w:rsid w:val="00EA3D15"/>
    <w:rsid w:val="00EA63A1"/>
    <w:rsid w:val="00EB1B17"/>
    <w:rsid w:val="00EB2470"/>
    <w:rsid w:val="00EB44DB"/>
    <w:rsid w:val="00EB5274"/>
    <w:rsid w:val="00EB690D"/>
    <w:rsid w:val="00EB6A9B"/>
    <w:rsid w:val="00EC17D5"/>
    <w:rsid w:val="00EC4F62"/>
    <w:rsid w:val="00EC57B0"/>
    <w:rsid w:val="00ED0C82"/>
    <w:rsid w:val="00ED2532"/>
    <w:rsid w:val="00ED7BAB"/>
    <w:rsid w:val="00EE1420"/>
    <w:rsid w:val="00EE428F"/>
    <w:rsid w:val="00EF068D"/>
    <w:rsid w:val="00EF1256"/>
    <w:rsid w:val="00EF6E97"/>
    <w:rsid w:val="00EF795B"/>
    <w:rsid w:val="00F02A45"/>
    <w:rsid w:val="00F02D4E"/>
    <w:rsid w:val="00F05B61"/>
    <w:rsid w:val="00F06BD3"/>
    <w:rsid w:val="00F07950"/>
    <w:rsid w:val="00F10394"/>
    <w:rsid w:val="00F1745F"/>
    <w:rsid w:val="00F23CB3"/>
    <w:rsid w:val="00F2567E"/>
    <w:rsid w:val="00F30417"/>
    <w:rsid w:val="00F309B0"/>
    <w:rsid w:val="00F3246B"/>
    <w:rsid w:val="00F32FB8"/>
    <w:rsid w:val="00F34BE2"/>
    <w:rsid w:val="00F35BF4"/>
    <w:rsid w:val="00F375A1"/>
    <w:rsid w:val="00F40CDA"/>
    <w:rsid w:val="00F4166E"/>
    <w:rsid w:val="00F421B4"/>
    <w:rsid w:val="00F433C7"/>
    <w:rsid w:val="00F4704C"/>
    <w:rsid w:val="00F50058"/>
    <w:rsid w:val="00F527B5"/>
    <w:rsid w:val="00F54A3B"/>
    <w:rsid w:val="00F56351"/>
    <w:rsid w:val="00F578D6"/>
    <w:rsid w:val="00F607E4"/>
    <w:rsid w:val="00F62693"/>
    <w:rsid w:val="00F6499E"/>
    <w:rsid w:val="00F664CE"/>
    <w:rsid w:val="00F6710E"/>
    <w:rsid w:val="00F7434E"/>
    <w:rsid w:val="00F751CA"/>
    <w:rsid w:val="00F7536E"/>
    <w:rsid w:val="00F7648F"/>
    <w:rsid w:val="00F77E20"/>
    <w:rsid w:val="00F80132"/>
    <w:rsid w:val="00F801E3"/>
    <w:rsid w:val="00F852DE"/>
    <w:rsid w:val="00F85F61"/>
    <w:rsid w:val="00F867F2"/>
    <w:rsid w:val="00F9467F"/>
    <w:rsid w:val="00F974BF"/>
    <w:rsid w:val="00FA0333"/>
    <w:rsid w:val="00FA1215"/>
    <w:rsid w:val="00FA12B7"/>
    <w:rsid w:val="00FA34C7"/>
    <w:rsid w:val="00FA4017"/>
    <w:rsid w:val="00FA47BA"/>
    <w:rsid w:val="00FA5386"/>
    <w:rsid w:val="00FA5480"/>
    <w:rsid w:val="00FA6660"/>
    <w:rsid w:val="00FB1784"/>
    <w:rsid w:val="00FB2697"/>
    <w:rsid w:val="00FB4911"/>
    <w:rsid w:val="00FB5F06"/>
    <w:rsid w:val="00FB788F"/>
    <w:rsid w:val="00FC19EC"/>
    <w:rsid w:val="00FC680F"/>
    <w:rsid w:val="00FC6967"/>
    <w:rsid w:val="00FD28E0"/>
    <w:rsid w:val="00FD3C0D"/>
    <w:rsid w:val="00FD539B"/>
    <w:rsid w:val="00FD55C6"/>
    <w:rsid w:val="00FD630A"/>
    <w:rsid w:val="00FD6A87"/>
    <w:rsid w:val="00FE0399"/>
    <w:rsid w:val="00FE15E5"/>
    <w:rsid w:val="00FE3195"/>
    <w:rsid w:val="00FE396B"/>
    <w:rsid w:val="00FE3AAF"/>
    <w:rsid w:val="00FE6BDD"/>
    <w:rsid w:val="00FF0441"/>
    <w:rsid w:val="00FF34CB"/>
    <w:rsid w:val="00FF4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D642B"/>
  <w15:docId w15:val="{CC724213-1311-4EBF-90F1-0EECDE4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pl-PL"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00A"/>
    <w:pPr>
      <w:widowControl w:val="0"/>
      <w:autoSpaceDE w:val="0"/>
      <w:autoSpaceDN w:val="0"/>
      <w:adjustRightInd w:val="0"/>
      <w:spacing w:before="0" w:line="360" w:lineRule="auto"/>
      <w:jc w:val="left"/>
    </w:pPr>
    <w:rPr>
      <w:rFonts w:eastAsia="Times New Roman" w:cs="Arial"/>
      <w:szCs w:val="20"/>
    </w:rPr>
  </w:style>
  <w:style w:type="paragraph" w:styleId="Nagwek1">
    <w:name w:val="heading 1"/>
    <w:basedOn w:val="Normalny"/>
    <w:next w:val="Normalny"/>
    <w:link w:val="Nagwek1Znak"/>
    <w:uiPriority w:val="9"/>
    <w:qFormat/>
    <w:rsid w:val="002F0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86745"/>
    <w:pPr>
      <w:widowControl/>
      <w:autoSpaceDE/>
      <w:autoSpaceDN/>
      <w:adjustRightInd/>
      <w:spacing w:before="100" w:beforeAutospacing="1" w:after="100" w:afterAutospacing="1" w:line="240" w:lineRule="auto"/>
      <w:outlineLvl w:val="1"/>
    </w:pPr>
    <w:rPr>
      <w:rFonts w:cs="Times New Roman"/>
      <w:b/>
      <w:bCs/>
      <w:sz w:val="36"/>
      <w:szCs w:val="36"/>
      <w:lang w:val="en-US" w:eastAsia="en-US"/>
    </w:rPr>
  </w:style>
  <w:style w:type="paragraph" w:styleId="Nagwek3">
    <w:name w:val="heading 3"/>
    <w:basedOn w:val="Normalny"/>
    <w:next w:val="Normalny"/>
    <w:link w:val="Nagwek3Znak"/>
    <w:uiPriority w:val="9"/>
    <w:unhideWhenUsed/>
    <w:qFormat/>
    <w:rsid w:val="002A282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534F09"/>
    <w:pPr>
      <w:widowControl/>
      <w:autoSpaceDE/>
      <w:autoSpaceDN/>
      <w:adjustRightInd/>
      <w:spacing w:before="120"/>
      <w:jc w:val="both"/>
    </w:pPr>
    <w:rPr>
      <w:rFonts w:eastAsiaTheme="minorHAnsi" w:cs="Times New Roman"/>
      <w:szCs w:val="24"/>
    </w:rPr>
  </w:style>
  <w:style w:type="paragraph" w:styleId="Nagwek">
    <w:name w:val="header"/>
    <w:basedOn w:val="Normalny"/>
    <w:link w:val="NagwekZnak"/>
    <w:uiPriority w:val="99"/>
    <w:unhideWhenUsed/>
    <w:rsid w:val="00534F09"/>
    <w:pPr>
      <w:widowControl/>
      <w:tabs>
        <w:tab w:val="center" w:pos="4536"/>
        <w:tab w:val="right" w:pos="9072"/>
      </w:tabs>
      <w:autoSpaceDE/>
      <w:autoSpaceDN/>
      <w:adjustRightInd/>
      <w:spacing w:before="120" w:line="240" w:lineRule="auto"/>
      <w:jc w:val="both"/>
    </w:pPr>
    <w:rPr>
      <w:rFonts w:eastAsiaTheme="minorHAnsi" w:cs="Times New Roman"/>
      <w:szCs w:val="24"/>
    </w:rPr>
  </w:style>
  <w:style w:type="character" w:customStyle="1" w:styleId="NagwekZnak">
    <w:name w:val="Nagłówek Znak"/>
    <w:basedOn w:val="Domylnaczcionkaakapitu"/>
    <w:link w:val="Nagwek"/>
    <w:uiPriority w:val="99"/>
    <w:rsid w:val="00534F09"/>
  </w:style>
  <w:style w:type="paragraph" w:styleId="Stopka">
    <w:name w:val="footer"/>
    <w:basedOn w:val="Normalny"/>
    <w:link w:val="StopkaZnak"/>
    <w:uiPriority w:val="99"/>
    <w:unhideWhenUsed/>
    <w:rsid w:val="00534F09"/>
    <w:pPr>
      <w:widowControl/>
      <w:tabs>
        <w:tab w:val="center" w:pos="4536"/>
        <w:tab w:val="right" w:pos="9072"/>
      </w:tabs>
      <w:autoSpaceDE/>
      <w:autoSpaceDN/>
      <w:adjustRightInd/>
      <w:spacing w:before="120" w:line="240" w:lineRule="auto"/>
      <w:jc w:val="both"/>
    </w:pPr>
    <w:rPr>
      <w:rFonts w:eastAsiaTheme="minorHAnsi" w:cs="Times New Roman"/>
      <w:szCs w:val="24"/>
    </w:rPr>
  </w:style>
  <w:style w:type="character" w:customStyle="1" w:styleId="StopkaZnak">
    <w:name w:val="Stopka Znak"/>
    <w:basedOn w:val="Domylnaczcionkaakapitu"/>
    <w:link w:val="Stopka"/>
    <w:uiPriority w:val="99"/>
    <w:rsid w:val="00534F09"/>
  </w:style>
  <w:style w:type="paragraph" w:styleId="Spistreci1">
    <w:name w:val="toc 1"/>
    <w:basedOn w:val="Normalny"/>
    <w:next w:val="Normalny"/>
    <w:autoRedefine/>
    <w:uiPriority w:val="39"/>
    <w:unhideWhenUsed/>
    <w:qFormat/>
    <w:rsid w:val="00534F09"/>
    <w:pPr>
      <w:tabs>
        <w:tab w:val="right" w:leader="dot" w:pos="8505"/>
      </w:tabs>
      <w:spacing w:before="120" w:after="100" w:line="240" w:lineRule="auto"/>
      <w:jc w:val="both"/>
    </w:pPr>
    <w:rPr>
      <w:rFonts w:ascii="A" w:eastAsiaTheme="minorEastAsia" w:hAnsi="A" w:cs="Times New Roman"/>
      <w:sz w:val="20"/>
    </w:rPr>
  </w:style>
  <w:style w:type="paragraph" w:styleId="Tekstkomentarza">
    <w:name w:val="annotation text"/>
    <w:basedOn w:val="Normalny"/>
    <w:link w:val="TekstkomentarzaZnak"/>
    <w:autoRedefine/>
    <w:uiPriority w:val="99"/>
    <w:unhideWhenUsed/>
    <w:qFormat/>
    <w:rsid w:val="00F2567E"/>
    <w:pPr>
      <w:widowControl/>
      <w:autoSpaceDE/>
      <w:autoSpaceDN/>
      <w:adjustRightInd/>
      <w:spacing w:after="200" w:line="276" w:lineRule="auto"/>
    </w:pPr>
    <w:rPr>
      <w:rFonts w:eastAsiaTheme="minorHAnsi" w:cs="Times New Roman"/>
      <w:szCs w:val="24"/>
      <w:lang w:eastAsia="en-US"/>
    </w:rPr>
  </w:style>
  <w:style w:type="character" w:customStyle="1" w:styleId="TekstkomentarzaZnak">
    <w:name w:val="Tekst komentarza Znak"/>
    <w:link w:val="Tekstkomentarza"/>
    <w:uiPriority w:val="99"/>
    <w:rsid w:val="00F2567E"/>
    <w:rPr>
      <w:lang w:eastAsia="en-US"/>
    </w:rPr>
  </w:style>
  <w:style w:type="character" w:styleId="Odwoaniedokomentarza">
    <w:name w:val="annotation reference"/>
    <w:basedOn w:val="Domylnaczcionkaakapitu"/>
    <w:uiPriority w:val="99"/>
    <w:unhideWhenUsed/>
    <w:rsid w:val="00534F09"/>
    <w:rPr>
      <w:sz w:val="16"/>
      <w:szCs w:val="16"/>
    </w:rPr>
  </w:style>
  <w:style w:type="paragraph" w:styleId="Tematkomentarza">
    <w:name w:val="annotation subject"/>
    <w:basedOn w:val="Tekstkomentarza"/>
    <w:next w:val="Tekstkomentarza"/>
    <w:link w:val="TematkomentarzaZnak"/>
    <w:uiPriority w:val="99"/>
    <w:semiHidden/>
    <w:unhideWhenUsed/>
    <w:rsid w:val="00534F09"/>
    <w:rPr>
      <w:b/>
      <w:bCs/>
    </w:rPr>
  </w:style>
  <w:style w:type="character" w:customStyle="1" w:styleId="TematkomentarzaZnak">
    <w:name w:val="Temat komentarza Znak"/>
    <w:basedOn w:val="TekstkomentarzaZnak"/>
    <w:link w:val="Tematkomentarza"/>
    <w:uiPriority w:val="99"/>
    <w:semiHidden/>
    <w:rsid w:val="00534F09"/>
    <w:rPr>
      <w:rFonts w:cs="Tahoma"/>
      <w:b/>
      <w:bCs/>
      <w:sz w:val="28"/>
      <w:szCs w:val="20"/>
      <w:lang w:eastAsia="en-US"/>
    </w:rPr>
  </w:style>
  <w:style w:type="paragraph" w:styleId="Tekstdymka">
    <w:name w:val="Balloon Text"/>
    <w:basedOn w:val="Normalny"/>
    <w:link w:val="TekstdymkaZnak"/>
    <w:uiPriority w:val="99"/>
    <w:semiHidden/>
    <w:unhideWhenUsed/>
    <w:rsid w:val="00534F09"/>
    <w:pPr>
      <w:widowControl/>
      <w:autoSpaceDE/>
      <w:autoSpaceDN/>
      <w:adjustRightInd/>
      <w:spacing w:line="240" w:lineRule="auto"/>
      <w:jc w:val="both"/>
    </w:pPr>
    <w:rPr>
      <w:rFonts w:ascii="Tahoma" w:eastAsiaTheme="minorHAnsi" w:hAnsi="Tahoma" w:cs="Tahoma"/>
      <w:szCs w:val="16"/>
    </w:rPr>
  </w:style>
  <w:style w:type="character" w:customStyle="1" w:styleId="TekstdymkaZnak">
    <w:name w:val="Tekst dymka Znak"/>
    <w:basedOn w:val="Domylnaczcionkaakapitu"/>
    <w:link w:val="Tekstdymka"/>
    <w:uiPriority w:val="99"/>
    <w:semiHidden/>
    <w:rsid w:val="00534F09"/>
    <w:rPr>
      <w:rFonts w:ascii="Tahoma" w:hAnsi="Tahoma" w:cs="Tahoma"/>
      <w:szCs w:val="16"/>
    </w:rPr>
  </w:style>
  <w:style w:type="table" w:styleId="Tabela-Siatka">
    <w:name w:val="Table Grid"/>
    <w:basedOn w:val="Standardowy"/>
    <w:uiPriority w:val="59"/>
    <w:rsid w:val="00534F0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4F09"/>
    <w:pPr>
      <w:widowControl/>
      <w:autoSpaceDE/>
      <w:autoSpaceDN/>
      <w:adjustRightInd/>
      <w:spacing w:before="120" w:line="240" w:lineRule="auto"/>
      <w:ind w:left="720"/>
      <w:contextualSpacing/>
      <w:jc w:val="both"/>
    </w:pPr>
    <w:rPr>
      <w:rFonts w:eastAsiaTheme="minorHAnsi" w:cs="Times New Roman"/>
      <w:szCs w:val="24"/>
    </w:rPr>
  </w:style>
  <w:style w:type="paragraph" w:customStyle="1" w:styleId="Styl2">
    <w:name w:val="Styl2"/>
    <w:basedOn w:val="Tekstkomentarza"/>
    <w:autoRedefine/>
    <w:qFormat/>
    <w:rsid w:val="00E306AA"/>
    <w:pPr>
      <w:spacing w:line="240" w:lineRule="auto"/>
    </w:pPr>
    <w:rPr>
      <w:rFonts w:cstheme="minorBidi"/>
      <w:szCs w:val="20"/>
    </w:rPr>
  </w:style>
  <w:style w:type="paragraph" w:customStyle="1" w:styleId="ARTartustawynprozporzdzenia">
    <w:name w:val="ART(§) – art. ustawy (§ np. rozporządzenia)"/>
    <w:uiPriority w:val="11"/>
    <w:qFormat/>
    <w:rsid w:val="003F0E8E"/>
    <w:pPr>
      <w:suppressAutoHyphens/>
      <w:autoSpaceDE w:val="0"/>
      <w:autoSpaceDN w:val="0"/>
      <w:adjustRightInd w:val="0"/>
      <w:spacing w:line="360" w:lineRule="auto"/>
      <w:ind w:firstLine="510"/>
    </w:pPr>
    <w:rPr>
      <w:rFonts w:ascii="Times" w:eastAsiaTheme="minorEastAsia" w:hAnsi="Times" w:cs="Arial"/>
      <w:szCs w:val="20"/>
    </w:rPr>
  </w:style>
  <w:style w:type="paragraph" w:customStyle="1" w:styleId="ZLITwPKTzmlitwpktartykuempunktem">
    <w:name w:val="Z/LIT_w_PKT – zm. lit. w pkt artykułem (punktem)"/>
    <w:basedOn w:val="LITlitera"/>
    <w:uiPriority w:val="32"/>
    <w:qFormat/>
    <w:rsid w:val="00A4600A"/>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A4600A"/>
    <w:pPr>
      <w:widowControl/>
      <w:autoSpaceDE/>
      <w:autoSpaceDN/>
      <w:adjustRightInd/>
      <w:ind w:left="1021"/>
      <w:jc w:val="both"/>
    </w:pPr>
    <w:rPr>
      <w:rFonts w:ascii="Times" w:hAnsi="Times"/>
      <w:bCs/>
      <w:szCs w:val="24"/>
    </w:rPr>
  </w:style>
  <w:style w:type="character" w:styleId="Odwoanieprzypisudolnego">
    <w:name w:val="footnote reference"/>
    <w:aliases w:val="FZ,Footnote symbol,Voetnootverwijzing,Footnote reference number"/>
    <w:uiPriority w:val="99"/>
    <w:rsid w:val="00A4600A"/>
    <w:rPr>
      <w:rFonts w:cs="Times New Roman"/>
      <w:vertAlign w:val="superscript"/>
    </w:rPr>
  </w:style>
  <w:style w:type="paragraph" w:customStyle="1" w:styleId="ZPKTzmpktartykuempunktem">
    <w:name w:val="Z/PKT – zm. pkt artykułem (punktem)"/>
    <w:basedOn w:val="PKTpunkt"/>
    <w:uiPriority w:val="31"/>
    <w:qFormat/>
    <w:rsid w:val="00A4600A"/>
    <w:pPr>
      <w:ind w:left="1020"/>
    </w:pPr>
  </w:style>
  <w:style w:type="paragraph" w:customStyle="1" w:styleId="ZARTzmartartykuempunktem">
    <w:name w:val="Z/ART(§) – zm. art. (§) artykułem (punktem)"/>
    <w:basedOn w:val="ARTartustawynprozporzdzenia"/>
    <w:uiPriority w:val="30"/>
    <w:qFormat/>
    <w:rsid w:val="00A4600A"/>
    <w:pPr>
      <w:spacing w:before="0"/>
      <w:ind w:left="510"/>
    </w:pPr>
    <w:rPr>
      <w:rFonts w:eastAsia="Times New Roman"/>
    </w:rPr>
  </w:style>
  <w:style w:type="paragraph" w:customStyle="1" w:styleId="DATAAKTUdatauchwalenialubwydaniaaktu">
    <w:name w:val="DATA_AKTU – data uchwalenia lub wydania aktu"/>
    <w:next w:val="TYTUAKTUprzedmiotregulacjiustawylubrozporzdzenia"/>
    <w:uiPriority w:val="6"/>
    <w:qFormat/>
    <w:rsid w:val="00A4600A"/>
    <w:pPr>
      <w:keepNext/>
      <w:suppressAutoHyphens/>
      <w:spacing w:after="120" w:line="360" w:lineRule="auto"/>
      <w:jc w:val="center"/>
    </w:pPr>
    <w:rPr>
      <w:rFonts w:ascii="Times" w:eastAsia="Times New Roman" w:hAnsi="Times" w:cs="Arial"/>
      <w:bCs/>
    </w:rPr>
  </w:style>
  <w:style w:type="paragraph" w:customStyle="1" w:styleId="TYTUAKTUprzedmiotregulacjiustawylubrozporzdzenia">
    <w:name w:val="TYTUŁ_AKTU – przedmiot regulacji ustawy lub rozporządzenia"/>
    <w:next w:val="ARTartustawynprozporzdzenia"/>
    <w:uiPriority w:val="6"/>
    <w:qFormat/>
    <w:rsid w:val="00A4600A"/>
    <w:pPr>
      <w:keepNext/>
      <w:suppressAutoHyphens/>
      <w:spacing w:after="360" w:line="360" w:lineRule="auto"/>
      <w:jc w:val="center"/>
    </w:pPr>
    <w:rPr>
      <w:rFonts w:ascii="Times" w:eastAsia="Times New Roman" w:hAnsi="Times" w:cs="Arial"/>
      <w:b/>
      <w:bCs/>
    </w:rPr>
  </w:style>
  <w:style w:type="paragraph" w:customStyle="1" w:styleId="OZNRODZAKTUtznustawalubrozporzdzenieiorganwydajcy">
    <w:name w:val="OZN_RODZ_AKTU – tzn. ustawa lub rozporządzenie i organ wydający"/>
    <w:next w:val="DATAAKTUdatauchwalenialubwydaniaaktu"/>
    <w:uiPriority w:val="5"/>
    <w:qFormat/>
    <w:rsid w:val="00A4600A"/>
    <w:pPr>
      <w:keepNext/>
      <w:suppressAutoHyphens/>
      <w:spacing w:before="0" w:after="120" w:line="360" w:lineRule="auto"/>
      <w:jc w:val="center"/>
    </w:pPr>
    <w:rPr>
      <w:rFonts w:ascii="Times" w:eastAsia="Times New Roman" w:hAnsi="Times"/>
      <w:b/>
      <w:bCs/>
      <w:caps/>
      <w:spacing w:val="54"/>
      <w:kern w:val="24"/>
    </w:rPr>
  </w:style>
  <w:style w:type="paragraph" w:customStyle="1" w:styleId="USTustnpkodeksu">
    <w:name w:val="UST(§) – ust. (§ np. kodeksu)"/>
    <w:basedOn w:val="ARTartustawynprozporzdzenia"/>
    <w:uiPriority w:val="12"/>
    <w:qFormat/>
    <w:rsid w:val="00A4600A"/>
    <w:pPr>
      <w:spacing w:before="0"/>
    </w:pPr>
    <w:rPr>
      <w:rFonts w:eastAsia="Times New Roman"/>
      <w:bCs/>
    </w:rPr>
  </w:style>
  <w:style w:type="paragraph" w:customStyle="1" w:styleId="PKTpunkt">
    <w:name w:val="PKT – punkt"/>
    <w:uiPriority w:val="13"/>
    <w:qFormat/>
    <w:rsid w:val="00A4600A"/>
    <w:pPr>
      <w:spacing w:before="0" w:line="360" w:lineRule="auto"/>
      <w:ind w:left="510" w:hanging="510"/>
    </w:pPr>
    <w:rPr>
      <w:rFonts w:ascii="Times" w:eastAsia="Times New Roman" w:hAnsi="Times" w:cs="Arial"/>
      <w:bCs/>
      <w:szCs w:val="20"/>
    </w:rPr>
  </w:style>
  <w:style w:type="paragraph" w:customStyle="1" w:styleId="CZWSPPKTczwsplnapunktw">
    <w:name w:val="CZ_WSP_PKT – część wspólna punktów"/>
    <w:basedOn w:val="PKTpunkt"/>
    <w:next w:val="USTustnpkodeksu"/>
    <w:uiPriority w:val="16"/>
    <w:qFormat/>
    <w:rsid w:val="00A4600A"/>
    <w:pPr>
      <w:ind w:left="0" w:firstLine="0"/>
    </w:pPr>
  </w:style>
  <w:style w:type="paragraph" w:customStyle="1" w:styleId="LITlitera">
    <w:name w:val="LIT – litera"/>
    <w:basedOn w:val="PKTpunkt"/>
    <w:uiPriority w:val="14"/>
    <w:qFormat/>
    <w:rsid w:val="00A4600A"/>
    <w:pPr>
      <w:ind w:left="986" w:hanging="476"/>
    </w:pPr>
  </w:style>
  <w:style w:type="paragraph" w:customStyle="1" w:styleId="ZLITzmlitartykuempunktem">
    <w:name w:val="Z/LIT – zm. lit. artykułem (punktem)"/>
    <w:basedOn w:val="LITlitera"/>
    <w:uiPriority w:val="32"/>
    <w:qFormat/>
    <w:rsid w:val="00A4600A"/>
  </w:style>
  <w:style w:type="paragraph" w:customStyle="1" w:styleId="ZLITUSTzmustliter">
    <w:name w:val="Z_LIT/UST(§) – zm. ust. (§) literą"/>
    <w:basedOn w:val="USTustnpkodeksu"/>
    <w:uiPriority w:val="46"/>
    <w:qFormat/>
    <w:rsid w:val="00A4600A"/>
    <w:pPr>
      <w:ind w:left="987"/>
    </w:pPr>
  </w:style>
  <w:style w:type="paragraph" w:customStyle="1" w:styleId="ODNONIKtreodnonika">
    <w:name w:val="ODNOŚNIK – treść odnośnika"/>
    <w:uiPriority w:val="19"/>
    <w:qFormat/>
    <w:rsid w:val="00A4600A"/>
    <w:pPr>
      <w:spacing w:before="0"/>
      <w:ind w:left="284" w:hanging="284"/>
    </w:pPr>
    <w:rPr>
      <w:rFonts w:eastAsia="Times New Roman" w:cs="Arial"/>
      <w:sz w:val="20"/>
      <w:szCs w:val="20"/>
    </w:rPr>
  </w:style>
  <w:style w:type="paragraph" w:customStyle="1" w:styleId="ZUSTzmustartykuempunktem">
    <w:name w:val="Z/UST(§) – zm. ust. (§) artykułem (punktem)"/>
    <w:basedOn w:val="ZARTzmartartykuempunktem"/>
    <w:uiPriority w:val="30"/>
    <w:qFormat/>
    <w:rsid w:val="00A4600A"/>
  </w:style>
  <w:style w:type="paragraph" w:customStyle="1" w:styleId="OZNPROJEKTUwskazaniedatylubwersjiprojektu">
    <w:name w:val="OZN_PROJEKTU – wskazanie daty lub wersji projektu"/>
    <w:next w:val="OZNRODZAKTUtznustawalubrozporzdzenieiorganwydajcy"/>
    <w:uiPriority w:val="5"/>
    <w:qFormat/>
    <w:rsid w:val="00A4600A"/>
    <w:pPr>
      <w:spacing w:before="0" w:line="360" w:lineRule="auto"/>
      <w:jc w:val="right"/>
    </w:pPr>
    <w:rPr>
      <w:rFonts w:eastAsia="Times New Roman" w:cs="Arial"/>
      <w:szCs w:val="20"/>
      <w:u w:val="single"/>
    </w:rPr>
  </w:style>
  <w:style w:type="paragraph" w:customStyle="1" w:styleId="NOTATKILEGISLATORA">
    <w:name w:val="NOTATKI_LEGISLATORA"/>
    <w:basedOn w:val="Normalny"/>
    <w:uiPriority w:val="5"/>
    <w:qFormat/>
    <w:rsid w:val="00A4600A"/>
    <w:rPr>
      <w:b/>
      <w:i/>
    </w:rPr>
  </w:style>
  <w:style w:type="character" w:customStyle="1" w:styleId="IGindeksgrny">
    <w:name w:val="_IG_ – indeks górny"/>
    <w:uiPriority w:val="2"/>
    <w:qFormat/>
    <w:rsid w:val="00A4600A"/>
    <w:rPr>
      <w:b w:val="0"/>
      <w:i w:val="0"/>
      <w:vanish w:val="0"/>
      <w:spacing w:val="0"/>
      <w:vertAlign w:val="superscript"/>
    </w:rPr>
  </w:style>
  <w:style w:type="character" w:customStyle="1" w:styleId="Ppogrubienie">
    <w:name w:val="_P_ – pogrubienie"/>
    <w:uiPriority w:val="1"/>
    <w:qFormat/>
    <w:rsid w:val="00A4600A"/>
    <w:rPr>
      <w:b/>
    </w:rPr>
  </w:style>
  <w:style w:type="paragraph" w:styleId="Tekstprzypisudolnego">
    <w:name w:val="footnote text"/>
    <w:basedOn w:val="Normalny"/>
    <w:link w:val="TekstprzypisudolnegoZnak"/>
    <w:uiPriority w:val="99"/>
    <w:unhideWhenUsed/>
    <w:rsid w:val="00CD4FD1"/>
    <w:pPr>
      <w:spacing w:line="240" w:lineRule="auto"/>
    </w:pPr>
    <w:rPr>
      <w:sz w:val="20"/>
    </w:rPr>
  </w:style>
  <w:style w:type="character" w:customStyle="1" w:styleId="TekstprzypisudolnegoZnak">
    <w:name w:val="Tekst przypisu dolnego Znak"/>
    <w:basedOn w:val="Domylnaczcionkaakapitu"/>
    <w:link w:val="Tekstprzypisudolnego"/>
    <w:uiPriority w:val="99"/>
    <w:rsid w:val="00CD4FD1"/>
    <w:rPr>
      <w:rFonts w:eastAsia="Times New Roman" w:cs="Arial"/>
      <w:sz w:val="20"/>
      <w:szCs w:val="20"/>
    </w:rPr>
  </w:style>
  <w:style w:type="paragraph" w:customStyle="1" w:styleId="CM4">
    <w:name w:val="CM4"/>
    <w:basedOn w:val="Normalny"/>
    <w:next w:val="Normalny"/>
    <w:uiPriority w:val="99"/>
    <w:rsid w:val="00E221BA"/>
    <w:pPr>
      <w:widowControl/>
      <w:spacing w:line="240" w:lineRule="auto"/>
    </w:pPr>
    <w:rPr>
      <w:rFonts w:eastAsiaTheme="minorHAnsi" w:cs="Times New Roman"/>
      <w:szCs w:val="24"/>
    </w:rPr>
  </w:style>
  <w:style w:type="paragraph" w:customStyle="1" w:styleId="Default">
    <w:name w:val="Default"/>
    <w:rsid w:val="008A1371"/>
    <w:pPr>
      <w:autoSpaceDE w:val="0"/>
      <w:autoSpaceDN w:val="0"/>
      <w:adjustRightInd w:val="0"/>
      <w:spacing w:before="0"/>
      <w:jc w:val="left"/>
    </w:pPr>
    <w:rPr>
      <w:rFonts w:ascii="Arial" w:hAnsi="Arial" w:cs="Arial"/>
      <w:color w:val="000000"/>
    </w:rPr>
  </w:style>
  <w:style w:type="character" w:customStyle="1" w:styleId="00KKGTekstPoziomuChar">
    <w:name w:val="*00 KKG Tekst Poziomu Char"/>
    <w:link w:val="00KKGTekstPoziomu"/>
    <w:locked/>
    <w:rsid w:val="00913B15"/>
    <w:rPr>
      <w:rFonts w:eastAsia="Times New Roman"/>
      <w:sz w:val="20"/>
    </w:rPr>
  </w:style>
  <w:style w:type="paragraph" w:customStyle="1" w:styleId="00KKGTekstPoziomu">
    <w:name w:val="*00 KKG Tekst Poziomu"/>
    <w:basedOn w:val="Normalny"/>
    <w:link w:val="00KKGTekstPoziomuChar"/>
    <w:qFormat/>
    <w:rsid w:val="00913B15"/>
    <w:pPr>
      <w:widowControl/>
      <w:autoSpaceDE/>
      <w:autoSpaceDN/>
      <w:adjustRightInd/>
      <w:spacing w:before="120" w:after="200" w:line="276" w:lineRule="auto"/>
      <w:ind w:left="709"/>
      <w:jc w:val="both"/>
    </w:pPr>
    <w:rPr>
      <w:rFonts w:cs="Times New Roman"/>
      <w:sz w:val="20"/>
      <w:szCs w:val="24"/>
    </w:rPr>
  </w:style>
  <w:style w:type="character" w:customStyle="1" w:styleId="Nagwek2Znak">
    <w:name w:val="Nagłówek 2 Znak"/>
    <w:basedOn w:val="Domylnaczcionkaakapitu"/>
    <w:link w:val="Nagwek2"/>
    <w:uiPriority w:val="9"/>
    <w:rsid w:val="00286745"/>
    <w:rPr>
      <w:rFonts w:eastAsia="Times New Roman"/>
      <w:b/>
      <w:bCs/>
      <w:sz w:val="36"/>
      <w:szCs w:val="36"/>
      <w:lang w:val="en-US" w:eastAsia="en-US"/>
    </w:rPr>
  </w:style>
  <w:style w:type="character" w:styleId="Hipercze">
    <w:name w:val="Hyperlink"/>
    <w:basedOn w:val="Domylnaczcionkaakapitu"/>
    <w:uiPriority w:val="99"/>
    <w:unhideWhenUsed/>
    <w:rsid w:val="00286745"/>
    <w:rPr>
      <w:color w:val="0000FF"/>
      <w:u w:val="single"/>
    </w:rPr>
  </w:style>
  <w:style w:type="character" w:customStyle="1" w:styleId="Nagwek3Znak">
    <w:name w:val="Nagłówek 3 Znak"/>
    <w:basedOn w:val="Domylnaczcionkaakapitu"/>
    <w:link w:val="Nagwek3"/>
    <w:uiPriority w:val="9"/>
    <w:rsid w:val="002A2822"/>
    <w:rPr>
      <w:rFonts w:asciiTheme="majorHAnsi" w:eastAsiaTheme="majorEastAsia" w:hAnsiTheme="majorHAnsi" w:cstheme="majorBidi"/>
      <w:b/>
      <w:bCs/>
      <w:color w:val="4F81BD" w:themeColor="accent1"/>
      <w:szCs w:val="20"/>
    </w:rPr>
  </w:style>
  <w:style w:type="paragraph" w:styleId="Tekstprzypisukocowego">
    <w:name w:val="endnote text"/>
    <w:basedOn w:val="Normalny"/>
    <w:link w:val="TekstprzypisukocowegoZnak"/>
    <w:uiPriority w:val="99"/>
    <w:semiHidden/>
    <w:unhideWhenUsed/>
    <w:rsid w:val="00DC7110"/>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C7110"/>
    <w:rPr>
      <w:rFonts w:eastAsia="Times New Roman" w:cs="Arial"/>
      <w:sz w:val="20"/>
      <w:szCs w:val="20"/>
    </w:rPr>
  </w:style>
  <w:style w:type="character" w:styleId="Odwoanieprzypisukocowego">
    <w:name w:val="endnote reference"/>
    <w:basedOn w:val="Domylnaczcionkaakapitu"/>
    <w:uiPriority w:val="99"/>
    <w:semiHidden/>
    <w:unhideWhenUsed/>
    <w:rsid w:val="00DC7110"/>
    <w:rPr>
      <w:vertAlign w:val="superscript"/>
    </w:rPr>
  </w:style>
  <w:style w:type="character" w:customStyle="1" w:styleId="Nagwek1Znak">
    <w:name w:val="Nagłówek 1 Znak"/>
    <w:basedOn w:val="Domylnaczcionkaakapitu"/>
    <w:link w:val="Nagwek1"/>
    <w:uiPriority w:val="9"/>
    <w:rsid w:val="002F019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omylnaczcionkaakapitu"/>
    <w:rsid w:val="00544525"/>
  </w:style>
  <w:style w:type="paragraph" w:styleId="Poprawka">
    <w:name w:val="Revision"/>
    <w:hidden/>
    <w:uiPriority w:val="99"/>
    <w:semiHidden/>
    <w:rsid w:val="00C4755C"/>
    <w:pPr>
      <w:spacing w:before="0"/>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192">
      <w:bodyDiv w:val="1"/>
      <w:marLeft w:val="0"/>
      <w:marRight w:val="0"/>
      <w:marTop w:val="0"/>
      <w:marBottom w:val="0"/>
      <w:divBdr>
        <w:top w:val="none" w:sz="0" w:space="0" w:color="auto"/>
        <w:left w:val="none" w:sz="0" w:space="0" w:color="auto"/>
        <w:bottom w:val="none" w:sz="0" w:space="0" w:color="auto"/>
        <w:right w:val="none" w:sz="0" w:space="0" w:color="auto"/>
      </w:divBdr>
    </w:div>
    <w:div w:id="1121414624">
      <w:bodyDiv w:val="1"/>
      <w:marLeft w:val="0"/>
      <w:marRight w:val="0"/>
      <w:marTop w:val="0"/>
      <w:marBottom w:val="0"/>
      <w:divBdr>
        <w:top w:val="none" w:sz="0" w:space="0" w:color="auto"/>
        <w:left w:val="none" w:sz="0" w:space="0" w:color="auto"/>
        <w:bottom w:val="none" w:sz="0" w:space="0" w:color="auto"/>
        <w:right w:val="none" w:sz="0" w:space="0" w:color="auto"/>
      </w:divBdr>
      <w:divsChild>
        <w:div w:id="2142378550">
          <w:marLeft w:val="0"/>
          <w:marRight w:val="0"/>
          <w:marTop w:val="0"/>
          <w:marBottom w:val="0"/>
          <w:divBdr>
            <w:top w:val="none" w:sz="0" w:space="0" w:color="auto"/>
            <w:left w:val="none" w:sz="0" w:space="0" w:color="auto"/>
            <w:bottom w:val="none" w:sz="0" w:space="0" w:color="auto"/>
            <w:right w:val="none" w:sz="0" w:space="0" w:color="auto"/>
          </w:divBdr>
        </w:div>
        <w:div w:id="257637733">
          <w:marLeft w:val="450"/>
          <w:marRight w:val="0"/>
          <w:marTop w:val="0"/>
          <w:marBottom w:val="0"/>
          <w:divBdr>
            <w:top w:val="none" w:sz="0" w:space="0" w:color="auto"/>
            <w:left w:val="none" w:sz="0" w:space="0" w:color="auto"/>
            <w:bottom w:val="none" w:sz="0" w:space="0" w:color="auto"/>
            <w:right w:val="none" w:sz="0" w:space="0" w:color="auto"/>
          </w:divBdr>
        </w:div>
        <w:div w:id="1781955258">
          <w:marLeft w:val="0"/>
          <w:marRight w:val="0"/>
          <w:marTop w:val="0"/>
          <w:marBottom w:val="0"/>
          <w:divBdr>
            <w:top w:val="none" w:sz="0" w:space="0" w:color="auto"/>
            <w:left w:val="none" w:sz="0" w:space="0" w:color="auto"/>
            <w:bottom w:val="none" w:sz="0" w:space="0" w:color="auto"/>
            <w:right w:val="none" w:sz="0" w:space="0" w:color="auto"/>
          </w:divBdr>
        </w:div>
        <w:div w:id="1624578640">
          <w:marLeft w:val="450"/>
          <w:marRight w:val="0"/>
          <w:marTop w:val="0"/>
          <w:marBottom w:val="0"/>
          <w:divBdr>
            <w:top w:val="none" w:sz="0" w:space="0" w:color="auto"/>
            <w:left w:val="none" w:sz="0" w:space="0" w:color="auto"/>
            <w:bottom w:val="none" w:sz="0" w:space="0" w:color="auto"/>
            <w:right w:val="none" w:sz="0" w:space="0" w:color="auto"/>
          </w:divBdr>
        </w:div>
        <w:div w:id="1981886899">
          <w:marLeft w:val="0"/>
          <w:marRight w:val="0"/>
          <w:marTop w:val="0"/>
          <w:marBottom w:val="0"/>
          <w:divBdr>
            <w:top w:val="none" w:sz="0" w:space="0" w:color="auto"/>
            <w:left w:val="none" w:sz="0" w:space="0" w:color="auto"/>
            <w:bottom w:val="none" w:sz="0" w:space="0" w:color="auto"/>
            <w:right w:val="none" w:sz="0" w:space="0" w:color="auto"/>
          </w:divBdr>
        </w:div>
        <w:div w:id="1152528758">
          <w:marLeft w:val="450"/>
          <w:marRight w:val="0"/>
          <w:marTop w:val="0"/>
          <w:marBottom w:val="0"/>
          <w:divBdr>
            <w:top w:val="none" w:sz="0" w:space="0" w:color="auto"/>
            <w:left w:val="none" w:sz="0" w:space="0" w:color="auto"/>
            <w:bottom w:val="none" w:sz="0" w:space="0" w:color="auto"/>
            <w:right w:val="none" w:sz="0" w:space="0" w:color="auto"/>
          </w:divBdr>
        </w:div>
        <w:div w:id="413012326">
          <w:marLeft w:val="0"/>
          <w:marRight w:val="0"/>
          <w:marTop w:val="0"/>
          <w:marBottom w:val="0"/>
          <w:divBdr>
            <w:top w:val="none" w:sz="0" w:space="0" w:color="auto"/>
            <w:left w:val="none" w:sz="0" w:space="0" w:color="auto"/>
            <w:bottom w:val="none" w:sz="0" w:space="0" w:color="auto"/>
            <w:right w:val="none" w:sz="0" w:space="0" w:color="auto"/>
          </w:divBdr>
        </w:div>
        <w:div w:id="314191286">
          <w:marLeft w:val="450"/>
          <w:marRight w:val="0"/>
          <w:marTop w:val="0"/>
          <w:marBottom w:val="0"/>
          <w:divBdr>
            <w:top w:val="none" w:sz="0" w:space="0" w:color="auto"/>
            <w:left w:val="none" w:sz="0" w:space="0" w:color="auto"/>
            <w:bottom w:val="none" w:sz="0" w:space="0" w:color="auto"/>
            <w:right w:val="none" w:sz="0" w:space="0" w:color="auto"/>
          </w:divBdr>
        </w:div>
      </w:divsChild>
    </w:div>
    <w:div w:id="1144390132">
      <w:bodyDiv w:val="1"/>
      <w:marLeft w:val="0"/>
      <w:marRight w:val="0"/>
      <w:marTop w:val="0"/>
      <w:marBottom w:val="0"/>
      <w:divBdr>
        <w:top w:val="none" w:sz="0" w:space="0" w:color="auto"/>
        <w:left w:val="none" w:sz="0" w:space="0" w:color="auto"/>
        <w:bottom w:val="none" w:sz="0" w:space="0" w:color="auto"/>
        <w:right w:val="none" w:sz="0" w:space="0" w:color="auto"/>
      </w:divBdr>
    </w:div>
    <w:div w:id="1175144289">
      <w:bodyDiv w:val="1"/>
      <w:marLeft w:val="0"/>
      <w:marRight w:val="0"/>
      <w:marTop w:val="0"/>
      <w:marBottom w:val="0"/>
      <w:divBdr>
        <w:top w:val="none" w:sz="0" w:space="0" w:color="auto"/>
        <w:left w:val="none" w:sz="0" w:space="0" w:color="auto"/>
        <w:bottom w:val="none" w:sz="0" w:space="0" w:color="auto"/>
        <w:right w:val="none" w:sz="0" w:space="0" w:color="auto"/>
      </w:divBdr>
    </w:div>
    <w:div w:id="1234587302">
      <w:bodyDiv w:val="1"/>
      <w:marLeft w:val="0"/>
      <w:marRight w:val="0"/>
      <w:marTop w:val="0"/>
      <w:marBottom w:val="0"/>
      <w:divBdr>
        <w:top w:val="none" w:sz="0" w:space="0" w:color="auto"/>
        <w:left w:val="none" w:sz="0" w:space="0" w:color="auto"/>
        <w:bottom w:val="none" w:sz="0" w:space="0" w:color="auto"/>
        <w:right w:val="none" w:sz="0" w:space="0" w:color="auto"/>
      </w:divBdr>
    </w:div>
    <w:div w:id="1397316667">
      <w:bodyDiv w:val="1"/>
      <w:marLeft w:val="0"/>
      <w:marRight w:val="0"/>
      <w:marTop w:val="0"/>
      <w:marBottom w:val="0"/>
      <w:divBdr>
        <w:top w:val="none" w:sz="0" w:space="0" w:color="auto"/>
        <w:left w:val="none" w:sz="0" w:space="0" w:color="auto"/>
        <w:bottom w:val="none" w:sz="0" w:space="0" w:color="auto"/>
        <w:right w:val="none" w:sz="0" w:space="0" w:color="auto"/>
      </w:divBdr>
      <w:divsChild>
        <w:div w:id="1353531298">
          <w:marLeft w:val="0"/>
          <w:marRight w:val="0"/>
          <w:marTop w:val="0"/>
          <w:marBottom w:val="0"/>
          <w:divBdr>
            <w:top w:val="none" w:sz="0" w:space="0" w:color="auto"/>
            <w:left w:val="none" w:sz="0" w:space="0" w:color="auto"/>
            <w:bottom w:val="none" w:sz="0" w:space="0" w:color="auto"/>
            <w:right w:val="none" w:sz="0" w:space="0" w:color="auto"/>
          </w:divBdr>
        </w:div>
        <w:div w:id="1060789236">
          <w:marLeft w:val="0"/>
          <w:marRight w:val="0"/>
          <w:marTop w:val="0"/>
          <w:marBottom w:val="0"/>
          <w:divBdr>
            <w:top w:val="none" w:sz="0" w:space="0" w:color="auto"/>
            <w:left w:val="none" w:sz="0" w:space="0" w:color="auto"/>
            <w:bottom w:val="none" w:sz="0" w:space="0" w:color="auto"/>
            <w:right w:val="none" w:sz="0" w:space="0" w:color="auto"/>
          </w:divBdr>
        </w:div>
        <w:div w:id="994331947">
          <w:marLeft w:val="0"/>
          <w:marRight w:val="0"/>
          <w:marTop w:val="0"/>
          <w:marBottom w:val="0"/>
          <w:divBdr>
            <w:top w:val="none" w:sz="0" w:space="0" w:color="auto"/>
            <w:left w:val="none" w:sz="0" w:space="0" w:color="auto"/>
            <w:bottom w:val="none" w:sz="0" w:space="0" w:color="auto"/>
            <w:right w:val="none" w:sz="0" w:space="0" w:color="auto"/>
          </w:divBdr>
          <w:divsChild>
            <w:div w:id="1446074189">
              <w:marLeft w:val="0"/>
              <w:marRight w:val="0"/>
              <w:marTop w:val="0"/>
              <w:marBottom w:val="0"/>
              <w:divBdr>
                <w:top w:val="none" w:sz="0" w:space="0" w:color="auto"/>
                <w:left w:val="none" w:sz="0" w:space="0" w:color="auto"/>
                <w:bottom w:val="none" w:sz="0" w:space="0" w:color="auto"/>
                <w:right w:val="none" w:sz="0" w:space="0" w:color="auto"/>
              </w:divBdr>
            </w:div>
          </w:divsChild>
        </w:div>
        <w:div w:id="1306809983">
          <w:marLeft w:val="0"/>
          <w:marRight w:val="0"/>
          <w:marTop w:val="0"/>
          <w:marBottom w:val="0"/>
          <w:divBdr>
            <w:top w:val="none" w:sz="0" w:space="0" w:color="auto"/>
            <w:left w:val="none" w:sz="0" w:space="0" w:color="auto"/>
            <w:bottom w:val="none" w:sz="0" w:space="0" w:color="auto"/>
            <w:right w:val="none" w:sz="0" w:space="0" w:color="auto"/>
          </w:divBdr>
          <w:divsChild>
            <w:div w:id="2111771982">
              <w:marLeft w:val="0"/>
              <w:marRight w:val="0"/>
              <w:marTop w:val="0"/>
              <w:marBottom w:val="0"/>
              <w:divBdr>
                <w:top w:val="none" w:sz="0" w:space="0" w:color="auto"/>
                <w:left w:val="none" w:sz="0" w:space="0" w:color="auto"/>
                <w:bottom w:val="none" w:sz="0" w:space="0" w:color="auto"/>
                <w:right w:val="none" w:sz="0" w:space="0" w:color="auto"/>
              </w:divBdr>
            </w:div>
          </w:divsChild>
        </w:div>
        <w:div w:id="207959598">
          <w:marLeft w:val="0"/>
          <w:marRight w:val="0"/>
          <w:marTop w:val="0"/>
          <w:marBottom w:val="0"/>
          <w:divBdr>
            <w:top w:val="none" w:sz="0" w:space="0" w:color="auto"/>
            <w:left w:val="none" w:sz="0" w:space="0" w:color="auto"/>
            <w:bottom w:val="none" w:sz="0" w:space="0" w:color="auto"/>
            <w:right w:val="none" w:sz="0" w:space="0" w:color="auto"/>
          </w:divBdr>
          <w:divsChild>
            <w:div w:id="2046052167">
              <w:marLeft w:val="0"/>
              <w:marRight w:val="0"/>
              <w:marTop w:val="0"/>
              <w:marBottom w:val="0"/>
              <w:divBdr>
                <w:top w:val="none" w:sz="0" w:space="0" w:color="auto"/>
                <w:left w:val="none" w:sz="0" w:space="0" w:color="auto"/>
                <w:bottom w:val="none" w:sz="0" w:space="0" w:color="auto"/>
                <w:right w:val="none" w:sz="0" w:space="0" w:color="auto"/>
              </w:divBdr>
            </w:div>
          </w:divsChild>
        </w:div>
        <w:div w:id="396246053">
          <w:marLeft w:val="0"/>
          <w:marRight w:val="0"/>
          <w:marTop w:val="0"/>
          <w:marBottom w:val="0"/>
          <w:divBdr>
            <w:top w:val="none" w:sz="0" w:space="0" w:color="auto"/>
            <w:left w:val="none" w:sz="0" w:space="0" w:color="auto"/>
            <w:bottom w:val="none" w:sz="0" w:space="0" w:color="auto"/>
            <w:right w:val="none" w:sz="0" w:space="0" w:color="auto"/>
          </w:divBdr>
          <w:divsChild>
            <w:div w:id="504785137">
              <w:marLeft w:val="0"/>
              <w:marRight w:val="0"/>
              <w:marTop w:val="0"/>
              <w:marBottom w:val="0"/>
              <w:divBdr>
                <w:top w:val="none" w:sz="0" w:space="0" w:color="auto"/>
                <w:left w:val="none" w:sz="0" w:space="0" w:color="auto"/>
                <w:bottom w:val="none" w:sz="0" w:space="0" w:color="auto"/>
                <w:right w:val="none" w:sz="0" w:space="0" w:color="auto"/>
              </w:divBdr>
            </w:div>
          </w:divsChild>
        </w:div>
        <w:div w:id="2041394036">
          <w:marLeft w:val="0"/>
          <w:marRight w:val="0"/>
          <w:marTop w:val="0"/>
          <w:marBottom w:val="0"/>
          <w:divBdr>
            <w:top w:val="none" w:sz="0" w:space="0" w:color="auto"/>
            <w:left w:val="none" w:sz="0" w:space="0" w:color="auto"/>
            <w:bottom w:val="none" w:sz="0" w:space="0" w:color="auto"/>
            <w:right w:val="none" w:sz="0" w:space="0" w:color="auto"/>
          </w:divBdr>
        </w:div>
        <w:div w:id="104429087">
          <w:marLeft w:val="0"/>
          <w:marRight w:val="0"/>
          <w:marTop w:val="0"/>
          <w:marBottom w:val="0"/>
          <w:divBdr>
            <w:top w:val="none" w:sz="0" w:space="0" w:color="auto"/>
            <w:left w:val="none" w:sz="0" w:space="0" w:color="auto"/>
            <w:bottom w:val="none" w:sz="0" w:space="0" w:color="auto"/>
            <w:right w:val="none" w:sz="0" w:space="0" w:color="auto"/>
          </w:divBdr>
        </w:div>
        <w:div w:id="701130649">
          <w:marLeft w:val="0"/>
          <w:marRight w:val="0"/>
          <w:marTop w:val="0"/>
          <w:marBottom w:val="0"/>
          <w:divBdr>
            <w:top w:val="none" w:sz="0" w:space="0" w:color="auto"/>
            <w:left w:val="none" w:sz="0" w:space="0" w:color="auto"/>
            <w:bottom w:val="none" w:sz="0" w:space="0" w:color="auto"/>
            <w:right w:val="none" w:sz="0" w:space="0" w:color="auto"/>
          </w:divBdr>
        </w:div>
        <w:div w:id="179785889">
          <w:marLeft w:val="0"/>
          <w:marRight w:val="0"/>
          <w:marTop w:val="0"/>
          <w:marBottom w:val="0"/>
          <w:divBdr>
            <w:top w:val="none" w:sz="0" w:space="0" w:color="auto"/>
            <w:left w:val="none" w:sz="0" w:space="0" w:color="auto"/>
            <w:bottom w:val="none" w:sz="0" w:space="0" w:color="auto"/>
            <w:right w:val="none" w:sz="0" w:space="0" w:color="auto"/>
          </w:divBdr>
        </w:div>
        <w:div w:id="1635713599">
          <w:marLeft w:val="0"/>
          <w:marRight w:val="0"/>
          <w:marTop w:val="0"/>
          <w:marBottom w:val="0"/>
          <w:divBdr>
            <w:top w:val="none" w:sz="0" w:space="0" w:color="auto"/>
            <w:left w:val="none" w:sz="0" w:space="0" w:color="auto"/>
            <w:bottom w:val="none" w:sz="0" w:space="0" w:color="auto"/>
            <w:right w:val="none" w:sz="0" w:space="0" w:color="auto"/>
          </w:divBdr>
        </w:div>
        <w:div w:id="939023968">
          <w:marLeft w:val="0"/>
          <w:marRight w:val="0"/>
          <w:marTop w:val="0"/>
          <w:marBottom w:val="0"/>
          <w:divBdr>
            <w:top w:val="none" w:sz="0" w:space="0" w:color="auto"/>
            <w:left w:val="none" w:sz="0" w:space="0" w:color="auto"/>
            <w:bottom w:val="none" w:sz="0" w:space="0" w:color="auto"/>
            <w:right w:val="none" w:sz="0" w:space="0" w:color="auto"/>
          </w:divBdr>
        </w:div>
        <w:div w:id="948313283">
          <w:marLeft w:val="0"/>
          <w:marRight w:val="0"/>
          <w:marTop w:val="0"/>
          <w:marBottom w:val="0"/>
          <w:divBdr>
            <w:top w:val="none" w:sz="0" w:space="0" w:color="auto"/>
            <w:left w:val="none" w:sz="0" w:space="0" w:color="auto"/>
            <w:bottom w:val="none" w:sz="0" w:space="0" w:color="auto"/>
            <w:right w:val="none" w:sz="0" w:space="0" w:color="auto"/>
          </w:divBdr>
        </w:div>
        <w:div w:id="2141268711">
          <w:marLeft w:val="0"/>
          <w:marRight w:val="0"/>
          <w:marTop w:val="0"/>
          <w:marBottom w:val="0"/>
          <w:divBdr>
            <w:top w:val="none" w:sz="0" w:space="0" w:color="auto"/>
            <w:left w:val="none" w:sz="0" w:space="0" w:color="auto"/>
            <w:bottom w:val="none" w:sz="0" w:space="0" w:color="auto"/>
            <w:right w:val="none" w:sz="0" w:space="0" w:color="auto"/>
          </w:divBdr>
        </w:div>
        <w:div w:id="2107311804">
          <w:marLeft w:val="0"/>
          <w:marRight w:val="0"/>
          <w:marTop w:val="0"/>
          <w:marBottom w:val="0"/>
          <w:divBdr>
            <w:top w:val="none" w:sz="0" w:space="0" w:color="auto"/>
            <w:left w:val="none" w:sz="0" w:space="0" w:color="auto"/>
            <w:bottom w:val="none" w:sz="0" w:space="0" w:color="auto"/>
            <w:right w:val="none" w:sz="0" w:space="0" w:color="auto"/>
          </w:divBdr>
        </w:div>
        <w:div w:id="1524589984">
          <w:marLeft w:val="0"/>
          <w:marRight w:val="0"/>
          <w:marTop w:val="0"/>
          <w:marBottom w:val="0"/>
          <w:divBdr>
            <w:top w:val="none" w:sz="0" w:space="0" w:color="auto"/>
            <w:left w:val="none" w:sz="0" w:space="0" w:color="auto"/>
            <w:bottom w:val="none" w:sz="0" w:space="0" w:color="auto"/>
            <w:right w:val="none" w:sz="0" w:space="0" w:color="auto"/>
          </w:divBdr>
        </w:div>
        <w:div w:id="1247611685">
          <w:marLeft w:val="0"/>
          <w:marRight w:val="0"/>
          <w:marTop w:val="0"/>
          <w:marBottom w:val="0"/>
          <w:divBdr>
            <w:top w:val="none" w:sz="0" w:space="0" w:color="auto"/>
            <w:left w:val="none" w:sz="0" w:space="0" w:color="auto"/>
            <w:bottom w:val="none" w:sz="0" w:space="0" w:color="auto"/>
            <w:right w:val="none" w:sz="0" w:space="0" w:color="auto"/>
          </w:divBdr>
        </w:div>
        <w:div w:id="295839542">
          <w:marLeft w:val="0"/>
          <w:marRight w:val="0"/>
          <w:marTop w:val="0"/>
          <w:marBottom w:val="0"/>
          <w:divBdr>
            <w:top w:val="none" w:sz="0" w:space="0" w:color="auto"/>
            <w:left w:val="none" w:sz="0" w:space="0" w:color="auto"/>
            <w:bottom w:val="none" w:sz="0" w:space="0" w:color="auto"/>
            <w:right w:val="none" w:sz="0" w:space="0" w:color="auto"/>
          </w:divBdr>
        </w:div>
      </w:divsChild>
    </w:div>
    <w:div w:id="1459834409">
      <w:bodyDiv w:val="1"/>
      <w:marLeft w:val="0"/>
      <w:marRight w:val="0"/>
      <w:marTop w:val="0"/>
      <w:marBottom w:val="0"/>
      <w:divBdr>
        <w:top w:val="none" w:sz="0" w:space="0" w:color="auto"/>
        <w:left w:val="none" w:sz="0" w:space="0" w:color="auto"/>
        <w:bottom w:val="none" w:sz="0" w:space="0" w:color="auto"/>
        <w:right w:val="none" w:sz="0" w:space="0" w:color="auto"/>
      </w:divBdr>
      <w:divsChild>
        <w:div w:id="2114934149">
          <w:marLeft w:val="0"/>
          <w:marRight w:val="0"/>
          <w:marTop w:val="0"/>
          <w:marBottom w:val="0"/>
          <w:divBdr>
            <w:top w:val="none" w:sz="0" w:space="0" w:color="auto"/>
            <w:left w:val="none" w:sz="0" w:space="0" w:color="auto"/>
            <w:bottom w:val="none" w:sz="0" w:space="0" w:color="auto"/>
            <w:right w:val="none" w:sz="0" w:space="0" w:color="auto"/>
          </w:divBdr>
        </w:div>
        <w:div w:id="1847403395">
          <w:marLeft w:val="0"/>
          <w:marRight w:val="0"/>
          <w:marTop w:val="0"/>
          <w:marBottom w:val="0"/>
          <w:divBdr>
            <w:top w:val="none" w:sz="0" w:space="0" w:color="auto"/>
            <w:left w:val="none" w:sz="0" w:space="0" w:color="auto"/>
            <w:bottom w:val="none" w:sz="0" w:space="0" w:color="auto"/>
            <w:right w:val="none" w:sz="0" w:space="0" w:color="auto"/>
          </w:divBdr>
        </w:div>
        <w:div w:id="429933301">
          <w:marLeft w:val="0"/>
          <w:marRight w:val="0"/>
          <w:marTop w:val="0"/>
          <w:marBottom w:val="0"/>
          <w:divBdr>
            <w:top w:val="none" w:sz="0" w:space="0" w:color="auto"/>
            <w:left w:val="none" w:sz="0" w:space="0" w:color="auto"/>
            <w:bottom w:val="none" w:sz="0" w:space="0" w:color="auto"/>
            <w:right w:val="none" w:sz="0" w:space="0" w:color="auto"/>
          </w:divBdr>
          <w:divsChild>
            <w:div w:id="2118480051">
              <w:marLeft w:val="0"/>
              <w:marRight w:val="0"/>
              <w:marTop w:val="0"/>
              <w:marBottom w:val="0"/>
              <w:divBdr>
                <w:top w:val="none" w:sz="0" w:space="0" w:color="auto"/>
                <w:left w:val="none" w:sz="0" w:space="0" w:color="auto"/>
                <w:bottom w:val="none" w:sz="0" w:space="0" w:color="auto"/>
                <w:right w:val="none" w:sz="0" w:space="0" w:color="auto"/>
              </w:divBdr>
            </w:div>
          </w:divsChild>
        </w:div>
        <w:div w:id="1879121984">
          <w:marLeft w:val="0"/>
          <w:marRight w:val="0"/>
          <w:marTop w:val="0"/>
          <w:marBottom w:val="0"/>
          <w:divBdr>
            <w:top w:val="none" w:sz="0" w:space="0" w:color="auto"/>
            <w:left w:val="none" w:sz="0" w:space="0" w:color="auto"/>
            <w:bottom w:val="none" w:sz="0" w:space="0" w:color="auto"/>
            <w:right w:val="none" w:sz="0" w:space="0" w:color="auto"/>
          </w:divBdr>
          <w:divsChild>
            <w:div w:id="1361471158">
              <w:marLeft w:val="0"/>
              <w:marRight w:val="0"/>
              <w:marTop w:val="0"/>
              <w:marBottom w:val="0"/>
              <w:divBdr>
                <w:top w:val="none" w:sz="0" w:space="0" w:color="auto"/>
                <w:left w:val="none" w:sz="0" w:space="0" w:color="auto"/>
                <w:bottom w:val="none" w:sz="0" w:space="0" w:color="auto"/>
                <w:right w:val="none" w:sz="0" w:space="0" w:color="auto"/>
              </w:divBdr>
            </w:div>
          </w:divsChild>
        </w:div>
        <w:div w:id="1549803806">
          <w:marLeft w:val="0"/>
          <w:marRight w:val="0"/>
          <w:marTop w:val="0"/>
          <w:marBottom w:val="0"/>
          <w:divBdr>
            <w:top w:val="none" w:sz="0" w:space="0" w:color="auto"/>
            <w:left w:val="none" w:sz="0" w:space="0" w:color="auto"/>
            <w:bottom w:val="none" w:sz="0" w:space="0" w:color="auto"/>
            <w:right w:val="none" w:sz="0" w:space="0" w:color="auto"/>
          </w:divBdr>
          <w:divsChild>
            <w:div w:id="1392148057">
              <w:marLeft w:val="0"/>
              <w:marRight w:val="0"/>
              <w:marTop w:val="0"/>
              <w:marBottom w:val="0"/>
              <w:divBdr>
                <w:top w:val="none" w:sz="0" w:space="0" w:color="auto"/>
                <w:left w:val="none" w:sz="0" w:space="0" w:color="auto"/>
                <w:bottom w:val="none" w:sz="0" w:space="0" w:color="auto"/>
                <w:right w:val="none" w:sz="0" w:space="0" w:color="auto"/>
              </w:divBdr>
            </w:div>
          </w:divsChild>
        </w:div>
        <w:div w:id="655188616">
          <w:marLeft w:val="0"/>
          <w:marRight w:val="0"/>
          <w:marTop w:val="0"/>
          <w:marBottom w:val="0"/>
          <w:divBdr>
            <w:top w:val="none" w:sz="0" w:space="0" w:color="auto"/>
            <w:left w:val="none" w:sz="0" w:space="0" w:color="auto"/>
            <w:bottom w:val="none" w:sz="0" w:space="0" w:color="auto"/>
            <w:right w:val="none" w:sz="0" w:space="0" w:color="auto"/>
          </w:divBdr>
          <w:divsChild>
            <w:div w:id="516576930">
              <w:marLeft w:val="0"/>
              <w:marRight w:val="0"/>
              <w:marTop w:val="0"/>
              <w:marBottom w:val="0"/>
              <w:divBdr>
                <w:top w:val="none" w:sz="0" w:space="0" w:color="auto"/>
                <w:left w:val="none" w:sz="0" w:space="0" w:color="auto"/>
                <w:bottom w:val="none" w:sz="0" w:space="0" w:color="auto"/>
                <w:right w:val="none" w:sz="0" w:space="0" w:color="auto"/>
              </w:divBdr>
            </w:div>
          </w:divsChild>
        </w:div>
        <w:div w:id="561908762">
          <w:marLeft w:val="0"/>
          <w:marRight w:val="0"/>
          <w:marTop w:val="0"/>
          <w:marBottom w:val="0"/>
          <w:divBdr>
            <w:top w:val="none" w:sz="0" w:space="0" w:color="auto"/>
            <w:left w:val="none" w:sz="0" w:space="0" w:color="auto"/>
            <w:bottom w:val="none" w:sz="0" w:space="0" w:color="auto"/>
            <w:right w:val="none" w:sz="0" w:space="0" w:color="auto"/>
          </w:divBdr>
        </w:div>
        <w:div w:id="1377239931">
          <w:marLeft w:val="0"/>
          <w:marRight w:val="0"/>
          <w:marTop w:val="0"/>
          <w:marBottom w:val="0"/>
          <w:divBdr>
            <w:top w:val="none" w:sz="0" w:space="0" w:color="auto"/>
            <w:left w:val="none" w:sz="0" w:space="0" w:color="auto"/>
            <w:bottom w:val="none" w:sz="0" w:space="0" w:color="auto"/>
            <w:right w:val="none" w:sz="0" w:space="0" w:color="auto"/>
          </w:divBdr>
        </w:div>
        <w:div w:id="102917972">
          <w:marLeft w:val="0"/>
          <w:marRight w:val="0"/>
          <w:marTop w:val="0"/>
          <w:marBottom w:val="0"/>
          <w:divBdr>
            <w:top w:val="none" w:sz="0" w:space="0" w:color="auto"/>
            <w:left w:val="none" w:sz="0" w:space="0" w:color="auto"/>
            <w:bottom w:val="none" w:sz="0" w:space="0" w:color="auto"/>
            <w:right w:val="none" w:sz="0" w:space="0" w:color="auto"/>
          </w:divBdr>
        </w:div>
        <w:div w:id="961493337">
          <w:marLeft w:val="0"/>
          <w:marRight w:val="0"/>
          <w:marTop w:val="0"/>
          <w:marBottom w:val="0"/>
          <w:divBdr>
            <w:top w:val="none" w:sz="0" w:space="0" w:color="auto"/>
            <w:left w:val="none" w:sz="0" w:space="0" w:color="auto"/>
            <w:bottom w:val="none" w:sz="0" w:space="0" w:color="auto"/>
            <w:right w:val="none" w:sz="0" w:space="0" w:color="auto"/>
          </w:divBdr>
        </w:div>
        <w:div w:id="661734038">
          <w:marLeft w:val="0"/>
          <w:marRight w:val="0"/>
          <w:marTop w:val="0"/>
          <w:marBottom w:val="0"/>
          <w:divBdr>
            <w:top w:val="none" w:sz="0" w:space="0" w:color="auto"/>
            <w:left w:val="none" w:sz="0" w:space="0" w:color="auto"/>
            <w:bottom w:val="none" w:sz="0" w:space="0" w:color="auto"/>
            <w:right w:val="none" w:sz="0" w:space="0" w:color="auto"/>
          </w:divBdr>
        </w:div>
        <w:div w:id="348600988">
          <w:marLeft w:val="0"/>
          <w:marRight w:val="0"/>
          <w:marTop w:val="0"/>
          <w:marBottom w:val="0"/>
          <w:divBdr>
            <w:top w:val="none" w:sz="0" w:space="0" w:color="auto"/>
            <w:left w:val="none" w:sz="0" w:space="0" w:color="auto"/>
            <w:bottom w:val="none" w:sz="0" w:space="0" w:color="auto"/>
            <w:right w:val="none" w:sz="0" w:space="0" w:color="auto"/>
          </w:divBdr>
        </w:div>
        <w:div w:id="222060102">
          <w:marLeft w:val="0"/>
          <w:marRight w:val="0"/>
          <w:marTop w:val="0"/>
          <w:marBottom w:val="0"/>
          <w:divBdr>
            <w:top w:val="none" w:sz="0" w:space="0" w:color="auto"/>
            <w:left w:val="none" w:sz="0" w:space="0" w:color="auto"/>
            <w:bottom w:val="none" w:sz="0" w:space="0" w:color="auto"/>
            <w:right w:val="none" w:sz="0" w:space="0" w:color="auto"/>
          </w:divBdr>
        </w:div>
        <w:div w:id="1162895197">
          <w:marLeft w:val="0"/>
          <w:marRight w:val="0"/>
          <w:marTop w:val="0"/>
          <w:marBottom w:val="0"/>
          <w:divBdr>
            <w:top w:val="none" w:sz="0" w:space="0" w:color="auto"/>
            <w:left w:val="none" w:sz="0" w:space="0" w:color="auto"/>
            <w:bottom w:val="none" w:sz="0" w:space="0" w:color="auto"/>
            <w:right w:val="none" w:sz="0" w:space="0" w:color="auto"/>
          </w:divBdr>
        </w:div>
        <w:div w:id="574046060">
          <w:marLeft w:val="0"/>
          <w:marRight w:val="0"/>
          <w:marTop w:val="0"/>
          <w:marBottom w:val="0"/>
          <w:divBdr>
            <w:top w:val="none" w:sz="0" w:space="0" w:color="auto"/>
            <w:left w:val="none" w:sz="0" w:space="0" w:color="auto"/>
            <w:bottom w:val="none" w:sz="0" w:space="0" w:color="auto"/>
            <w:right w:val="none" w:sz="0" w:space="0" w:color="auto"/>
          </w:divBdr>
        </w:div>
        <w:div w:id="1025403641">
          <w:marLeft w:val="0"/>
          <w:marRight w:val="0"/>
          <w:marTop w:val="0"/>
          <w:marBottom w:val="0"/>
          <w:divBdr>
            <w:top w:val="none" w:sz="0" w:space="0" w:color="auto"/>
            <w:left w:val="none" w:sz="0" w:space="0" w:color="auto"/>
            <w:bottom w:val="none" w:sz="0" w:space="0" w:color="auto"/>
            <w:right w:val="none" w:sz="0" w:space="0" w:color="auto"/>
          </w:divBdr>
        </w:div>
        <w:div w:id="1823152097">
          <w:marLeft w:val="0"/>
          <w:marRight w:val="0"/>
          <w:marTop w:val="0"/>
          <w:marBottom w:val="0"/>
          <w:divBdr>
            <w:top w:val="none" w:sz="0" w:space="0" w:color="auto"/>
            <w:left w:val="none" w:sz="0" w:space="0" w:color="auto"/>
            <w:bottom w:val="none" w:sz="0" w:space="0" w:color="auto"/>
            <w:right w:val="none" w:sz="0" w:space="0" w:color="auto"/>
          </w:divBdr>
        </w:div>
        <w:div w:id="514197780">
          <w:marLeft w:val="0"/>
          <w:marRight w:val="0"/>
          <w:marTop w:val="0"/>
          <w:marBottom w:val="0"/>
          <w:divBdr>
            <w:top w:val="none" w:sz="0" w:space="0" w:color="auto"/>
            <w:left w:val="none" w:sz="0" w:space="0" w:color="auto"/>
            <w:bottom w:val="none" w:sz="0" w:space="0" w:color="auto"/>
            <w:right w:val="none" w:sz="0" w:space="0" w:color="auto"/>
          </w:divBdr>
        </w:div>
      </w:divsChild>
    </w:div>
    <w:div w:id="1675690278">
      <w:bodyDiv w:val="1"/>
      <w:marLeft w:val="0"/>
      <w:marRight w:val="0"/>
      <w:marTop w:val="0"/>
      <w:marBottom w:val="0"/>
      <w:divBdr>
        <w:top w:val="none" w:sz="0" w:space="0" w:color="auto"/>
        <w:left w:val="none" w:sz="0" w:space="0" w:color="auto"/>
        <w:bottom w:val="none" w:sz="0" w:space="0" w:color="auto"/>
        <w:right w:val="none" w:sz="0" w:space="0" w:color="auto"/>
      </w:divBdr>
    </w:div>
    <w:div w:id="19383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29BA28-BB42-4569-9CBD-6A60AC03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14379</Words>
  <Characters>86280</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Stolaś-Markiewicz</dc:creator>
  <cp:lastModifiedBy>Grażyna D. Grabowska</cp:lastModifiedBy>
  <cp:revision>2</cp:revision>
  <cp:lastPrinted>2019-05-10T10:36:00Z</cp:lastPrinted>
  <dcterms:created xsi:type="dcterms:W3CDTF">2019-05-29T07:05:00Z</dcterms:created>
  <dcterms:modified xsi:type="dcterms:W3CDTF">2019-05-29T07:05:00Z</dcterms:modified>
</cp:coreProperties>
</file>